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P"/>
        <w:tabs>
          <w:tab w:val="left" w:pos="567" w:leader="none"/>
        </w:tabs>
        <w:rPr>
          <w:rFonts w:ascii="Arial" w:hAnsi="Arial" w:cs="Arial"/>
          <w:b/>
          <w:sz w:val="24"/>
          <w:szCs w:val="24"/>
          <w:lang w:eastAsia="ja-JP"/>
        </w:rPr>
      </w:pPr>
      <w:r>
        <w:rPr>
          <w:rFonts w:cs="Arial" w:ascii="Arial" w:hAnsi="Arial"/>
          <w:b/>
          <w:sz w:val="24"/>
          <w:szCs w:val="24"/>
        </w:rPr>
        <w:t>3GPP TSG RAN meeting #109</w:t>
        <w:tab/>
        <w:tab/>
        <w:tab/>
        <w:tab/>
        <w:tab/>
        <w:tab/>
        <w:tab/>
        <w:tab/>
        <w:tab/>
        <w:tab/>
        <w:t>RP-25</w:t>
      </w:r>
      <w:r>
        <w:rPr>
          <w:rFonts w:cs="Arial" w:ascii="Arial" w:hAnsi="Arial"/>
          <w:b/>
          <w:sz w:val="24"/>
          <w:szCs w:val="24"/>
        </w:rPr>
        <w:t>2848</w:t>
      </w:r>
    </w:p>
    <w:p>
      <w:pPr>
        <w:pStyle w:val="Normal"/>
        <w:tabs>
          <w:tab w:val="left" w:pos="567" w:leader="none"/>
        </w:tabs>
        <w:rPr>
          <w:rFonts w:ascii="Arial" w:hAnsi="Arial" w:cs="Arial"/>
          <w:b/>
          <w:sz w:val="24"/>
        </w:rPr>
      </w:pPr>
      <w:r>
        <w:rPr>
          <w:rFonts w:cs="Arial" w:ascii="Arial" w:hAnsi="Arial"/>
          <w:b/>
          <w:sz w:val="24"/>
        </w:rPr>
        <w:t>Beijing, China, September 15-18th, 2025</w:t>
      </w:r>
    </w:p>
    <w:p>
      <w:pPr>
        <w:pStyle w:val="Heading2"/>
        <w:jc w:val="center"/>
        <w:rPr>
          <w:u w:val="single"/>
        </w:rPr>
      </w:pPr>
      <w:r>
        <w:rPr>
          <w:u w:val="single"/>
        </w:rPr>
        <w:t>Status Report to TSG</w:t>
      </w:r>
    </w:p>
    <w:p>
      <w:pPr>
        <w:pStyle w:val="Normal"/>
        <w:tabs>
          <w:tab w:val="left" w:pos="567" w:leader="none"/>
        </w:tabs>
        <w:rPr>
          <w:rFonts w:ascii="Arial" w:hAnsi="Arial" w:cs="Arial"/>
          <w:lang w:eastAsia="ja-JP"/>
        </w:rPr>
      </w:pPr>
      <w:r>
        <w:rPr>
          <w:rFonts w:cs="Arial" w:ascii="Arial" w:hAnsi="Arial"/>
          <w:b/>
        </w:rPr>
        <w:t>Agenda item:</w:t>
      </w:r>
      <w:r>
        <w:rPr>
          <w:rFonts w:cs="Arial" w:ascii="Arial" w:hAnsi="Arial"/>
        </w:rPr>
        <w:tab/>
        <w:tab/>
        <w:tab/>
      </w:r>
      <w:r>
        <w:rPr>
          <w:rFonts w:cs="Arial" w:ascii="Arial" w:hAnsi="Arial"/>
          <w:color w:val="FF0000"/>
          <w:lang w:eastAsia="ja-JP"/>
        </w:rPr>
        <w:t>9.7.1.1</w:t>
      </w:r>
    </w:p>
    <w:tbl>
      <w:tblPr>
        <w:tblW w:w="10086" w:type="dxa"/>
        <w:jc w:val="left"/>
        <w:tblInd w:w="221" w:type="dxa"/>
        <w:tblLayout w:type="fixed"/>
        <w:tblCellMar>
          <w:top w:w="0" w:type="dxa"/>
          <w:left w:w="108" w:type="dxa"/>
          <w:bottom w:w="0" w:type="dxa"/>
          <w:right w:w="108" w:type="dxa"/>
        </w:tblCellMar>
        <w:tblLook w:val="01e0" w:noHBand="0" w:noVBand="0" w:firstColumn="1" w:lastRow="1" w:lastColumn="1" w:firstRow="1"/>
      </w:tblPr>
      <w:tblGrid>
        <w:gridCol w:w="2434"/>
        <w:gridCol w:w="1846"/>
        <w:gridCol w:w="1844"/>
        <w:gridCol w:w="2266"/>
        <w:gridCol w:w="41"/>
        <w:gridCol w:w="1655"/>
      </w:tblGrid>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WI Name</w:t>
            </w:r>
          </w:p>
        </w:tc>
        <w:tc>
          <w:tcPr>
            <w:tcW w:w="7652"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Introduction of new NR NTN bands to support the Extended L-band (UL 1668-1675MHz, DL 1518-1525MHz) and the combined MSS L-band and Extended L-band ranges (DL 1518-1559 MHz, UL 1626.5-1660.5 MHz and 1668-1675 MHz)</w:t>
            </w:r>
          </w:p>
        </w:tc>
      </w:tr>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Cs/>
              </w:rPr>
            </w:pPr>
            <w:r>
              <w:rPr>
                <w:rFonts w:cs="Arial" w:ascii="Arial" w:hAnsi="Arial"/>
                <w:bCs/>
              </w:rPr>
              <w:t>included in this status report</w:t>
            </w:r>
          </w:p>
        </w:tc>
        <w:tc>
          <w:tcPr>
            <w:tcW w:w="184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lang w:eastAsia="ja-JP"/>
              </w:rPr>
            </w:pPr>
            <w:r>
              <w:rPr>
                <w:rFonts w:cs="Arial" w:ascii="Arial" w:hAnsi="Arial"/>
              </w:rPr>
              <w:t>Study Item:</w:t>
            </w:r>
            <w:r>
              <w:rPr>
                <w:rFonts w:cs="Arial" w:ascii="Arial" w:hAnsi="Arial"/>
                <w:color w:val="FF0000"/>
                <w:lang w:eastAsia="ja-JP"/>
              </w:rPr>
              <w:t xml:space="preserve"> </w:t>
            </w:r>
          </w:p>
          <w:p>
            <w:pPr>
              <w:pStyle w:val="Normal"/>
              <w:tabs>
                <w:tab w:val="left" w:pos="567" w:leader="none"/>
              </w:tabs>
              <w:spacing w:before="0" w:after="0"/>
              <w:rPr>
                <w:rFonts w:ascii="Arial" w:hAnsi="Arial" w:cs="Arial"/>
              </w:rPr>
            </w:pPr>
            <w:r>
              <w:rPr>
                <w:rFonts w:cs="Arial" w:ascii="Arial" w:hAnsi="Arial"/>
                <w:color w:val="FF0000"/>
                <w:lang w:eastAsia="ja-JP"/>
              </w:rPr>
              <w:t>No</w:t>
            </w:r>
          </w:p>
        </w:tc>
        <w:tc>
          <w:tcPr>
            <w:tcW w:w="184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lang w:eastAsia="ja-JP"/>
              </w:rPr>
            </w:pPr>
            <w:r>
              <w:rPr>
                <w:rFonts w:cs="Arial" w:ascii="Arial" w:hAnsi="Arial"/>
              </w:rPr>
              <w:t>Core part:</w:t>
            </w:r>
            <w:r>
              <w:rPr>
                <w:rFonts w:cs="Arial" w:ascii="Arial" w:hAnsi="Arial"/>
                <w:color w:val="FF0000"/>
                <w:lang w:eastAsia="ja-JP"/>
              </w:rPr>
              <w:t xml:space="preserve"> </w:t>
            </w:r>
          </w:p>
          <w:p>
            <w:pPr>
              <w:pStyle w:val="Normal"/>
              <w:tabs>
                <w:tab w:val="left" w:pos="567" w:leader="none"/>
              </w:tabs>
              <w:spacing w:before="0" w:after="0"/>
              <w:rPr>
                <w:rFonts w:ascii="Arial" w:hAnsi="Arial" w:cs="Arial"/>
                <w:color w:val="FF0000"/>
                <w:lang w:eastAsia="ja-JP"/>
              </w:rPr>
            </w:pPr>
            <w:r>
              <w:rPr>
                <w:rFonts w:cs="Arial" w:ascii="Arial" w:hAnsi="Arial"/>
                <w:color w:val="FF0000"/>
                <w:lang w:eastAsia="ja-JP"/>
              </w:rPr>
              <w:t>Yes</w:t>
            </w:r>
          </w:p>
        </w:tc>
        <w:tc>
          <w:tcPr>
            <w:tcW w:w="2307"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Performance part:</w:t>
            </w:r>
          </w:p>
          <w:p>
            <w:pPr>
              <w:pStyle w:val="Normal"/>
              <w:tabs>
                <w:tab w:val="left" w:pos="567" w:leader="none"/>
              </w:tabs>
              <w:spacing w:before="0" w:after="0"/>
              <w:rPr>
                <w:rFonts w:ascii="Arial" w:hAnsi="Arial" w:cs="Arial"/>
                <w:color w:val="FF0000"/>
                <w:lang w:eastAsia="ja-JP"/>
              </w:rPr>
            </w:pPr>
            <w:r>
              <w:rPr>
                <w:rFonts w:cs="Arial" w:ascii="Arial" w:hAnsi="Arial"/>
                <w:color w:val="FF0000"/>
                <w:lang w:eastAsia="ja-JP"/>
              </w:rPr>
              <w:t>Yes</w:t>
            </w:r>
          </w:p>
        </w:tc>
        <w:tc>
          <w:tcPr>
            <w:tcW w:w="1655"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Testing part:</w:t>
            </w:r>
          </w:p>
          <w:p>
            <w:pPr>
              <w:pStyle w:val="Normal"/>
              <w:tabs>
                <w:tab w:val="left" w:pos="567" w:leader="none"/>
              </w:tabs>
              <w:spacing w:before="0" w:after="0"/>
              <w:rPr>
                <w:rFonts w:ascii="Arial" w:hAnsi="Arial" w:cs="Arial"/>
                <w:color w:val="FF0000"/>
                <w:lang w:eastAsia="ja-JP"/>
              </w:rPr>
            </w:pPr>
            <w:r>
              <w:rPr>
                <w:rFonts w:cs="Arial" w:ascii="Arial" w:hAnsi="Arial"/>
                <w:color w:val="FF0000"/>
                <w:lang w:eastAsia="ja-JP"/>
              </w:rPr>
              <w:t>No</w:t>
            </w:r>
          </w:p>
        </w:tc>
      </w:tr>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Acronym</w:t>
            </w:r>
          </w:p>
        </w:tc>
        <w:tc>
          <w:tcPr>
            <w:tcW w:w="7652"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NR_NTN_combinedLband</w:t>
            </w:r>
          </w:p>
        </w:tc>
      </w:tr>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Unique ID</w:t>
            </w:r>
          </w:p>
        </w:tc>
        <w:tc>
          <w:tcPr>
            <w:tcW w:w="7652"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1040134</w:t>
            </w:r>
          </w:p>
        </w:tc>
      </w:tr>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TSG Tdoc of latest approved WI/SI description (if any)</w:t>
            </w:r>
          </w:p>
        </w:tc>
        <w:tc>
          <w:tcPr>
            <w:tcW w:w="7652"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RP-250983</w:t>
              <w:tab/>
            </w:r>
          </w:p>
        </w:tc>
      </w:tr>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Target Completion Date</w:t>
            </w:r>
          </w:p>
          <w:p>
            <w:pPr>
              <w:pStyle w:val="Normal"/>
              <w:tabs>
                <w:tab w:val="left" w:pos="567" w:leader="none"/>
              </w:tabs>
              <w:spacing w:before="0" w:after="0"/>
              <w:rPr>
                <w:rFonts w:ascii="Arial" w:hAnsi="Arial" w:cs="Arial"/>
                <w:b/>
              </w:rPr>
            </w:pPr>
            <w:r>
              <w:rPr>
                <w:rFonts w:cs="Arial" w:ascii="Arial" w:hAnsi="Arial"/>
                <w:b/>
              </w:rPr>
              <w:t>(indicate if changed)</w:t>
            </w:r>
          </w:p>
        </w:tc>
        <w:tc>
          <w:tcPr>
            <w:tcW w:w="184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Study Item: </w:t>
            </w:r>
          </w:p>
          <w:p>
            <w:pPr>
              <w:pStyle w:val="Normal"/>
              <w:tabs>
                <w:tab w:val="left" w:pos="567" w:leader="none"/>
              </w:tabs>
              <w:spacing w:before="0" w:after="0"/>
              <w:rPr>
                <w:rFonts w:ascii="Arial" w:hAnsi="Arial" w:cs="Arial"/>
                <w:lang w:eastAsia="ja-JP"/>
              </w:rPr>
            </w:pPr>
            <w:r>
              <w:rPr>
                <w:rFonts w:cs="Arial" w:ascii="Arial" w:hAnsi="Arial"/>
                <w:color w:themeColor="background1" w:themeShade="80" w:val="808080"/>
                <w:lang w:eastAsia="ja-JP"/>
              </w:rPr>
              <w:t>N/A</w:t>
            </w:r>
          </w:p>
        </w:tc>
        <w:tc>
          <w:tcPr>
            <w:tcW w:w="184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Core part: </w:t>
            </w:r>
            <w:r>
              <w:rPr>
                <w:rFonts w:cs="Arial" w:ascii="Arial" w:hAnsi="Arial"/>
                <w:color w:val="00B050"/>
                <w:lang w:eastAsia="ja-JP"/>
              </w:rPr>
              <w:t>09/2025</w:t>
            </w:r>
          </w:p>
        </w:tc>
        <w:tc>
          <w:tcPr>
            <w:tcW w:w="226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C000"/>
                <w:lang w:eastAsia="ja-JP"/>
              </w:rPr>
            </w:pPr>
            <w:r>
              <w:rPr>
                <w:rFonts w:cs="Arial" w:ascii="Arial" w:hAnsi="Arial"/>
                <w:lang w:eastAsia="ja-JP"/>
              </w:rPr>
              <w:t xml:space="preserve">Performance part: </w:t>
            </w:r>
          </w:p>
          <w:p>
            <w:pPr>
              <w:pStyle w:val="Normal"/>
              <w:tabs>
                <w:tab w:val="left" w:pos="567" w:leader="none"/>
              </w:tabs>
              <w:spacing w:before="0" w:after="0"/>
              <w:rPr>
                <w:rFonts w:ascii="Arial" w:hAnsi="Arial" w:cs="Arial"/>
                <w:lang w:eastAsia="ja-JP"/>
              </w:rPr>
            </w:pPr>
            <w:r>
              <w:rPr>
                <w:rFonts w:cs="Arial" w:ascii="Arial" w:hAnsi="Arial"/>
                <w:color w:val="00B050"/>
                <w:lang w:eastAsia="ja-JP"/>
              </w:rPr>
              <w:t>09/2025</w:t>
            </w:r>
          </w:p>
        </w:tc>
        <w:tc>
          <w:tcPr>
            <w:tcW w:w="1696"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highlight w:val="yellow"/>
                <w:lang w:eastAsia="ja-JP"/>
              </w:rPr>
            </w:pPr>
            <w:r>
              <w:rPr>
                <w:rFonts w:cs="Arial" w:ascii="Arial" w:hAnsi="Arial"/>
                <w:lang w:eastAsia="ja-JP"/>
              </w:rPr>
              <w:t xml:space="preserve">Testing part: </w:t>
            </w:r>
            <w:r>
              <w:rPr>
                <w:rFonts w:cs="Arial" w:ascii="Arial" w:hAnsi="Arial"/>
                <w:color w:themeColor="background1" w:themeShade="80" w:val="808080"/>
                <w:lang w:eastAsia="ja-JP"/>
              </w:rPr>
              <w:t>N/A</w:t>
            </w:r>
          </w:p>
        </w:tc>
      </w:tr>
      <w:tr>
        <w:trPr/>
        <w:tc>
          <w:tcPr>
            <w:tcW w:w="243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Overall Completion level</w:t>
            </w:r>
          </w:p>
        </w:tc>
        <w:tc>
          <w:tcPr>
            <w:tcW w:w="184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lang w:eastAsia="ja-JP"/>
              </w:rPr>
            </w:pPr>
            <w:r>
              <w:rPr>
                <w:rFonts w:cs="Arial" w:ascii="Arial" w:hAnsi="Arial"/>
                <w:color w:themeColor="text1" w:val="000000"/>
                <w:lang w:eastAsia="ja-JP"/>
              </w:rPr>
              <w:t>Study Item:</w:t>
            </w:r>
            <w:r>
              <w:rPr>
                <w:rFonts w:cs="Arial" w:ascii="Arial" w:hAnsi="Arial"/>
                <w:color w:val="FF0000"/>
                <w:lang w:eastAsia="ja-JP"/>
              </w:rPr>
              <w:t xml:space="preserve"> </w:t>
            </w:r>
          </w:p>
          <w:p>
            <w:pPr>
              <w:pStyle w:val="Normal"/>
              <w:tabs>
                <w:tab w:val="left" w:pos="567" w:leader="none"/>
              </w:tabs>
              <w:spacing w:before="0" w:after="0"/>
              <w:rPr>
                <w:rFonts w:ascii="Arial" w:hAnsi="Arial" w:cs="Arial"/>
                <w:lang w:eastAsia="ja-JP"/>
              </w:rPr>
            </w:pPr>
            <w:r>
              <w:rPr>
                <w:rFonts w:cs="Arial" w:ascii="Arial" w:hAnsi="Arial"/>
                <w:color w:themeColor="background1" w:themeShade="80" w:val="808080"/>
                <w:lang w:eastAsia="ja-JP"/>
              </w:rPr>
              <w:t>N/A</w:t>
            </w:r>
          </w:p>
        </w:tc>
        <w:tc>
          <w:tcPr>
            <w:tcW w:w="184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Core part: </w:t>
            </w:r>
          </w:p>
          <w:p>
            <w:pPr>
              <w:pStyle w:val="Normal"/>
              <w:tabs>
                <w:tab w:val="left" w:pos="567" w:leader="none"/>
              </w:tabs>
              <w:spacing w:before="0" w:after="0"/>
              <w:rPr>
                <w:rFonts w:ascii="Arial" w:hAnsi="Arial" w:cs="Arial"/>
                <w:color w:val="FFC000"/>
                <w:lang w:eastAsia="ja-JP"/>
              </w:rPr>
            </w:pPr>
            <w:r>
              <w:rPr>
                <w:rFonts w:cs="Arial" w:ascii="Arial" w:hAnsi="Arial"/>
                <w:color w:val="00B050"/>
                <w:lang w:eastAsia="ja-JP"/>
              </w:rPr>
              <w:t>100%</w:t>
            </w:r>
          </w:p>
        </w:tc>
        <w:tc>
          <w:tcPr>
            <w:tcW w:w="226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Performance Part: </w:t>
            </w:r>
          </w:p>
          <w:p>
            <w:pPr>
              <w:pStyle w:val="Normal"/>
              <w:tabs>
                <w:tab w:val="left" w:pos="567" w:leader="none"/>
              </w:tabs>
              <w:spacing w:before="0" w:after="0"/>
              <w:rPr>
                <w:rFonts w:ascii="Arial" w:hAnsi="Arial" w:cs="Arial"/>
                <w:lang w:eastAsia="ja-JP"/>
              </w:rPr>
            </w:pPr>
            <w:r>
              <w:rPr>
                <w:rFonts w:cs="Arial" w:ascii="Arial" w:hAnsi="Arial"/>
                <w:color w:val="00B050"/>
                <w:lang w:eastAsia="ja-JP"/>
              </w:rPr>
              <w:t>100%</w:t>
            </w:r>
          </w:p>
        </w:tc>
        <w:tc>
          <w:tcPr>
            <w:tcW w:w="1696"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highlight w:val="yellow"/>
                <w:lang w:eastAsia="ja-JP"/>
              </w:rPr>
            </w:pPr>
            <w:r>
              <w:rPr>
                <w:rFonts w:cs="Arial" w:ascii="Arial" w:hAnsi="Arial"/>
                <w:lang w:eastAsia="ja-JP"/>
              </w:rPr>
              <w:t xml:space="preserve">Testing part: </w:t>
            </w:r>
            <w:r>
              <w:rPr>
                <w:rFonts w:cs="Arial" w:ascii="Arial" w:hAnsi="Arial"/>
                <w:color w:themeColor="background1" w:themeShade="80" w:val="808080"/>
                <w:lang w:eastAsia="ja-JP"/>
              </w:rPr>
              <w:t>N/A</w:t>
            </w:r>
          </w:p>
        </w:tc>
      </w:tr>
    </w:tbl>
    <w:p>
      <w:pPr>
        <w:pStyle w:val="Normal"/>
        <w:tabs>
          <w:tab w:val="left" w:pos="567" w:leader="none"/>
        </w:tabs>
        <w:spacing w:before="0" w:after="0"/>
        <w:rPr>
          <w:rFonts w:ascii="Arial" w:hAnsi="Arial" w:cs="Arial"/>
        </w:rPr>
      </w:pPr>
      <w:r>
        <w:rPr>
          <w:rFonts w:cs="Arial" w:ascii="Arial" w:hAnsi="Arial"/>
        </w:rPr>
        <w:t>Note: Overall completion level percentage numbers should use one of the colors below:</w:t>
      </w:r>
    </w:p>
    <w:p>
      <w:pPr>
        <w:pStyle w:val="ListParagraph"/>
        <w:numPr>
          <w:ilvl w:val="0"/>
          <w:numId w:val="4"/>
        </w:numPr>
        <w:tabs>
          <w:tab w:val="left" w:pos="567" w:leader="none"/>
        </w:tabs>
        <w:rPr>
          <w:rFonts w:ascii="Arial" w:hAnsi="Arial" w:cs="Arial"/>
          <w:color w:val="00B050"/>
        </w:rPr>
      </w:pPr>
      <w:r>
        <w:rPr>
          <w:rFonts w:cs="Arial" w:ascii="Arial" w:hAnsi="Arial"/>
          <w:color w:val="00B050"/>
        </w:rPr>
        <w:t>xx%</w:t>
      </w:r>
      <w:r>
        <w:rPr>
          <w:rFonts w:cs="Arial" w:ascii="Arial" w:hAnsi="Arial"/>
        </w:rPr>
        <w:t xml:space="preserve">: </w:t>
      </w:r>
      <w:r>
        <w:rPr>
          <w:rFonts w:cs="Arial" w:ascii="Arial" w:hAnsi="Arial"/>
          <w:color w:val="00B050"/>
        </w:rPr>
        <w:t>Normal progress, no RAN plenary action needed</w:t>
      </w:r>
    </w:p>
    <w:p>
      <w:pPr>
        <w:pStyle w:val="ListParagraph"/>
        <w:numPr>
          <w:ilvl w:val="0"/>
          <w:numId w:val="4"/>
        </w:numPr>
        <w:tabs>
          <w:tab w:val="left" w:pos="567" w:leader="none"/>
        </w:tabs>
        <w:rPr>
          <w:rFonts w:ascii="Arial" w:hAnsi="Arial" w:cs="Arial"/>
          <w:color w:val="FF9201"/>
        </w:rPr>
      </w:pPr>
      <w:r>
        <w:rPr>
          <w:rFonts w:cs="Arial" w:ascii="Arial" w:hAnsi="Arial"/>
          <w:color w:val="FF9201"/>
        </w:rPr>
        <w:t>xx%: Progress behind schedule, may need RAN plenary intervention. If so, SR should clearly define requested action</w:t>
      </w:r>
    </w:p>
    <w:p>
      <w:pPr>
        <w:pStyle w:val="ListParagraph"/>
        <w:numPr>
          <w:ilvl w:val="0"/>
          <w:numId w:val="4"/>
        </w:numPr>
        <w:tabs>
          <w:tab w:val="left" w:pos="567" w:leader="none"/>
        </w:tabs>
        <w:rPr>
          <w:rFonts w:ascii="Arial" w:hAnsi="Arial" w:cs="Arial"/>
          <w:color w:val="FF0000"/>
        </w:rPr>
      </w:pPr>
      <w:r>
        <w:rPr>
          <w:rFonts w:cs="Arial" w:ascii="Arial" w:hAnsi="Arial"/>
          <w:color w:val="FF0000"/>
        </w:rPr>
        <w:t>xx%: Progress critically behind, RAN plenary shall intervene. SR should define requested action</w:t>
      </w:r>
    </w:p>
    <w:p>
      <w:pPr>
        <w:pStyle w:val="ListParagraph"/>
        <w:tabs>
          <w:tab w:val="left" w:pos="567" w:leader="none"/>
        </w:tabs>
        <w:ind w:left="924"/>
        <w:rPr>
          <w:rFonts w:ascii="Arial" w:hAnsi="Arial" w:cs="Arial"/>
          <w:color w:val="FF0000"/>
        </w:rPr>
      </w:pPr>
      <w:r>
        <w:rPr>
          <w:rFonts w:cs="Arial" w:ascii="Arial" w:hAnsi="Arial"/>
          <w:color w:val="FF0000"/>
        </w:rPr>
      </w:r>
    </w:p>
    <w:p>
      <w:pPr>
        <w:pStyle w:val="Normal"/>
        <w:tabs>
          <w:tab w:val="left" w:pos="567" w:leader="none"/>
        </w:tabs>
        <w:spacing w:before="0" w:after="60"/>
        <w:rPr>
          <w:rFonts w:ascii="Arial" w:hAnsi="Arial" w:cs="Arial"/>
          <w:b/>
        </w:rPr>
      </w:pPr>
      <w:r>
        <w:rPr>
          <w:rFonts w:cs="Arial" w:ascii="Arial" w:hAnsi="Arial"/>
          <w:b/>
        </w:rPr>
        <w:t>Source:</w:t>
      </w:r>
    </w:p>
    <w:tbl>
      <w:tblPr>
        <w:tblW w:w="10086" w:type="dxa"/>
        <w:jc w:val="left"/>
        <w:tblInd w:w="221" w:type="dxa"/>
        <w:tblLayout w:type="fixed"/>
        <w:tblCellMar>
          <w:top w:w="0" w:type="dxa"/>
          <w:left w:w="108" w:type="dxa"/>
          <w:bottom w:w="0" w:type="dxa"/>
          <w:right w:w="108" w:type="dxa"/>
        </w:tblCellMar>
        <w:tblLook w:val="01e0" w:noHBand="0" w:noVBand="0" w:firstColumn="1" w:lastRow="1" w:lastColumn="1" w:firstRow="1"/>
      </w:tblPr>
      <w:tblGrid>
        <w:gridCol w:w="1414"/>
        <w:gridCol w:w="1333"/>
        <w:gridCol w:w="7339"/>
      </w:tblGrid>
      <w:tr>
        <w:trPr/>
        <w:tc>
          <w:tcPr>
            <w:tcW w:w="2747"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Leading WG</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rPr>
            </w:pPr>
            <w:r>
              <w:rPr>
                <w:rFonts w:cs="Arial" w:ascii="Arial" w:hAnsi="Arial"/>
              </w:rPr>
              <w:t>RAN4</w:t>
            </w:r>
          </w:p>
        </w:tc>
      </w:tr>
      <w:tr>
        <w:trPr/>
        <w:tc>
          <w:tcPr>
            <w:tcW w:w="141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left" w:pos="567" w:leader="none"/>
              </w:tabs>
              <w:spacing w:before="0" w:after="180"/>
              <w:rPr>
                <w:rFonts w:ascii="Arial" w:hAnsi="Arial" w:cs="Arial"/>
                <w:b/>
              </w:rPr>
            </w:pPr>
            <w:r>
              <w:rPr>
                <w:rFonts w:cs="Arial" w:ascii="Arial" w:hAnsi="Arial"/>
                <w:b/>
              </w:rPr>
              <w:t>Rapporteur</w:t>
            </w:r>
          </w:p>
        </w:tc>
        <w:tc>
          <w:tcPr>
            <w:tcW w:w="133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Name</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Luca Lodigiani</w:t>
            </w:r>
          </w:p>
        </w:tc>
      </w:tr>
      <w:tr>
        <w:trPr/>
        <w:tc>
          <w:tcPr>
            <w:tcW w:w="1414" w:type="dxa"/>
            <w:vMerge w:val="continue"/>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180"/>
              <w:rPr>
                <w:rFonts w:ascii="Arial" w:hAnsi="Arial" w:cs="Arial"/>
                <w:b/>
              </w:rPr>
            </w:pPr>
            <w:r>
              <w:rPr>
                <w:rFonts w:cs="Arial" w:ascii="Arial" w:hAnsi="Arial"/>
                <w:b/>
              </w:rPr>
            </w:r>
          </w:p>
        </w:tc>
        <w:tc>
          <w:tcPr>
            <w:tcW w:w="133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Company</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Aalyria</w:t>
            </w:r>
          </w:p>
        </w:tc>
      </w:tr>
      <w:tr>
        <w:trPr/>
        <w:tc>
          <w:tcPr>
            <w:tcW w:w="1414" w:type="dxa"/>
            <w:vMerge w:val="continue"/>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180"/>
              <w:rPr>
                <w:rFonts w:ascii="Arial" w:hAnsi="Arial" w:cs="Arial"/>
                <w:b/>
              </w:rPr>
            </w:pPr>
            <w:r>
              <w:rPr>
                <w:rFonts w:cs="Arial" w:ascii="Arial" w:hAnsi="Arial"/>
                <w:b/>
              </w:rPr>
            </w:r>
          </w:p>
        </w:tc>
        <w:tc>
          <w:tcPr>
            <w:tcW w:w="133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Email</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luca@aalyria.com</w:t>
            </w:r>
          </w:p>
        </w:tc>
      </w:tr>
    </w:tbl>
    <w:p>
      <w:pPr>
        <w:pStyle w:val="Normal"/>
        <w:pBdr>
          <w:bottom w:val="single" w:sz="4" w:space="1" w:color="000000"/>
        </w:pBdr>
        <w:spacing w:before="0" w:after="0"/>
        <w:rPr>
          <w:rFonts w:ascii="Arial" w:hAnsi="Arial" w:cs="Arial"/>
        </w:rPr>
      </w:pPr>
      <w:r>
        <w:rPr>
          <w:rFonts w:cs="Arial" w:ascii="Arial" w:hAnsi="Arial"/>
        </w:rPr>
      </w:r>
    </w:p>
    <w:p>
      <w:pPr>
        <w:pStyle w:val="Normal"/>
        <w:pBdr>
          <w:bottom w:val="single" w:sz="4" w:space="1" w:color="000000"/>
        </w:pBdr>
        <w:rPr>
          <w:rFonts w:ascii="Arial" w:hAnsi="Arial" w:cs="Arial"/>
        </w:rPr>
      </w:pPr>
      <w:r>
        <w:rPr>
          <w:rFonts w:cs="Arial" w:ascii="Arial" w:hAnsi="Arial"/>
        </w:rPr>
      </w:r>
    </w:p>
    <w:p>
      <w:pPr>
        <w:pStyle w:val="Heading2"/>
        <w:rPr/>
      </w:pPr>
      <w:r>
        <w:rPr/>
        <w:t>1</w:t>
        <w:tab/>
        <w:t>Work plan related evaluation</w:t>
      </w:r>
    </w:p>
    <w:tbl>
      <w:tblPr>
        <w:tblW w:w="7222" w:type="dxa"/>
        <w:jc w:val="center"/>
        <w:tblInd w:w="0" w:type="dxa"/>
        <w:tblLayout w:type="fixed"/>
        <w:tblCellMar>
          <w:top w:w="0" w:type="dxa"/>
          <w:left w:w="108" w:type="dxa"/>
          <w:bottom w:w="0" w:type="dxa"/>
          <w:right w:w="108" w:type="dxa"/>
        </w:tblCellMar>
        <w:tblLook w:val="01e0" w:noHBand="0" w:noVBand="0" w:firstColumn="1" w:lastRow="1" w:lastColumn="1" w:firstRow="1"/>
      </w:tblPr>
      <w:tblGrid>
        <w:gridCol w:w="6184"/>
        <w:gridCol w:w="1037"/>
      </w:tblGrid>
      <w:tr>
        <w:trPr/>
        <w:tc>
          <w:tcPr>
            <w:tcW w:w="6184" w:type="dxa"/>
            <w:tcBorders>
              <w:top w:val="single" w:sz="4" w:space="0" w:color="000000"/>
              <w:left w:val="single" w:sz="4" w:space="0" w:color="000000"/>
              <w:bottom w:val="single" w:sz="4" w:space="0" w:color="000000"/>
              <w:right w:val="single" w:sz="4" w:space="0" w:color="000000"/>
            </w:tcBorders>
            <w:shd w:color="auto" w:fill="E0E0E0" w:val="clear"/>
          </w:tcPr>
          <w:p>
            <w:pPr>
              <w:pStyle w:val="TAL"/>
              <w:jc w:val="center"/>
              <w:rPr>
                <w:b/>
                <w:bCs/>
              </w:rPr>
            </w:pPr>
            <w:r>
              <w:rPr>
                <w:b/>
                <w:bCs/>
              </w:rPr>
              <w:t>Do you want to modify the time budget for this WI/SI compared to what was endorsed at the last RAN meeting?</w:t>
            </w:r>
          </w:p>
        </w:tc>
        <w:tc>
          <w:tcPr>
            <w:tcW w:w="1037" w:type="dxa"/>
            <w:tcBorders>
              <w:top w:val="single" w:sz="4" w:space="0" w:color="000000"/>
              <w:left w:val="single" w:sz="4" w:space="0" w:color="000000"/>
              <w:bottom w:val="single" w:sz="4" w:space="0" w:color="000000"/>
              <w:right w:val="single" w:sz="4" w:space="0" w:color="000000"/>
            </w:tcBorders>
            <w:vAlign w:val="center"/>
          </w:tcPr>
          <w:p>
            <w:pPr>
              <w:pStyle w:val="TAL"/>
              <w:jc w:val="center"/>
              <w:rPr>
                <w:color w:val="FF0000"/>
                <w:lang w:eastAsia="ja-JP"/>
              </w:rPr>
            </w:pPr>
            <w:r>
              <w:rPr>
                <w:color w:val="FF0000"/>
                <w:lang w:eastAsia="ja-JP"/>
              </w:rPr>
              <w:t>No</w:t>
            </w:r>
          </w:p>
        </w:tc>
      </w:tr>
    </w:tbl>
    <w:p>
      <w:pPr>
        <w:pStyle w:val="Normal"/>
        <w:spacing w:before="0" w:after="0"/>
        <w:rPr>
          <w:rFonts w:ascii="Arial" w:hAnsi="Arial" w:cs="Arial"/>
        </w:rPr>
      </w:pPr>
      <w:r>
        <w:rPr>
          <w:rFonts w:cs="Arial" w:ascii="Arial" w:hAnsi="Arial"/>
        </w:rPr>
      </w:r>
    </w:p>
    <w:p>
      <w:pPr>
        <w:pStyle w:val="NO"/>
        <w:rPr>
          <w:rFonts w:ascii="Arial" w:hAnsi="Arial" w:cs="Arial"/>
          <w:i/>
          <w:i/>
        </w:rPr>
      </w:pPr>
      <w:r>
        <w:rPr>
          <w:rFonts w:cs="Arial" w:ascii="Arial" w:hAnsi="Arial"/>
          <w:i/>
        </w:rPr>
        <w:t>If you answered No:</w:t>
        <w:tab/>
        <w:t>Then please remove the Excel file from the zip file of this status report.</w:t>
      </w:r>
    </w:p>
    <w:p>
      <w:pPr>
        <w:pStyle w:val="Normal"/>
        <w:spacing w:before="0" w:after="0"/>
        <w:rPr>
          <w:rFonts w:ascii="Arial" w:hAnsi="Arial" w:cs="Arial"/>
          <w:b/>
          <w:bCs/>
        </w:rPr>
      </w:pPr>
      <w:r>
        <w:rPr>
          <w:rFonts w:cs="Arial" w:ascii="Arial" w:hAnsi="Arial"/>
          <w:b/>
          <w:bCs/>
        </w:rPr>
        <w:t>The Work Item is Complete in both Core and Performance parts and can be closed.</w:t>
      </w:r>
    </w:p>
    <w:p>
      <w:pPr>
        <w:pStyle w:val="Normal"/>
        <w:spacing w:before="0" w:after="0"/>
        <w:rPr>
          <w:rFonts w:ascii="Arial" w:hAnsi="Arial" w:cs="Arial"/>
        </w:rPr>
      </w:pPr>
      <w:r>
        <w:rPr>
          <w:rFonts w:cs="Arial" w:ascii="Arial" w:hAnsi="Arial"/>
        </w:rPr>
      </w:r>
    </w:p>
    <w:p>
      <w:pPr>
        <w:pStyle w:val="Heading2"/>
        <w:rPr/>
      </w:pPr>
      <w:r>
        <w:rPr/>
        <w:t>2.</w:t>
        <w:tab/>
        <w:t>Detailed progress in RAN WGs since last TSG meeting (for all involved WGs)</w:t>
      </w:r>
    </w:p>
    <w:p>
      <w:pPr>
        <w:pStyle w:val="Normal"/>
        <w:rPr>
          <w:rFonts w:ascii="Arial" w:hAnsi="Arial" w:cs="Arial"/>
        </w:rPr>
      </w:pPr>
      <w:r>
        <w:rPr/>
        <w:tab/>
      </w:r>
      <w:r>
        <w:rPr>
          <w:rFonts w:cs="Arial" w:ascii="Arial" w:hAnsi="Arial"/>
          <w:color w:val="FF0000"/>
        </w:rPr>
        <w:t>NOTE: Agreements and Open issues impacted cross-TSG aspects shall be explicitly highlighted</w:t>
      </w:r>
    </w:p>
    <w:p>
      <w:pPr>
        <w:pStyle w:val="Heading2"/>
        <w:rPr>
          <w:lang w:eastAsia="ja-JP"/>
        </w:rPr>
      </w:pPr>
      <w:r>
        <w:rPr>
          <w:lang w:eastAsia="ja-JP"/>
        </w:rPr>
        <w:t>2.4</w:t>
        <w:tab/>
        <w:t>RAN4</w:t>
      </w:r>
    </w:p>
    <w:p>
      <w:pPr>
        <w:pStyle w:val="Heading3"/>
        <w:rPr/>
      </w:pPr>
      <w:r>
        <w:rPr/>
        <w:t>2.4.2</w:t>
        <w:tab/>
        <w:t>Agreements after RAN4#116</w:t>
      </w:r>
    </w:p>
    <w:p>
      <w:pPr>
        <w:pStyle w:val="Normal"/>
        <w:rPr/>
      </w:pPr>
      <w:r>
        <w:rPr/>
        <w:t>The discussion in RAN4#116 focused on the remaining issues of the additional ETSI-specific emission requirements, protection of Radio-astronomy (RA) stations and finalizing A-MPR values for the UE.</w:t>
      </w:r>
    </w:p>
    <w:p>
      <w:pPr>
        <w:pStyle w:val="Normal"/>
        <w:rPr/>
      </w:pPr>
      <w:r>
        <w:rPr/>
        <w:t>An LS from ETSI TC SES was received (R4-2509023, SES(25)000071), and a reply was sent to ETSI ([5] R4-2511848), specifically in respect to the additional emission requirements.</w:t>
      </w:r>
    </w:p>
    <w:p>
      <w:pPr>
        <w:pStyle w:val="Normal"/>
        <w:rPr/>
      </w:pPr>
      <w:r>
        <w:rPr/>
        <w:t>The following Agreements were reached ([2] R4-2511751):</w:t>
      </w:r>
    </w:p>
    <w:p>
      <w:pPr>
        <w:pStyle w:val="Heading4"/>
        <w:rPr/>
      </w:pPr>
      <w:r>
        <w:rPr/>
        <w:t>Issue 1-1-2: Handling of UE requirements based on ETSI EN standards</w:t>
      </w:r>
    </w:p>
    <w:p>
      <w:pPr>
        <w:pStyle w:val="ListParagraph"/>
        <w:widowControl/>
        <w:numPr>
          <w:ilvl w:val="0"/>
          <w:numId w:val="6"/>
        </w:numPr>
        <w:suppressAutoHyphens w:val="false"/>
        <w:overflowPunct w:val="false"/>
        <w:spacing w:lineRule="auto" w:line="240" w:before="0" w:after="120"/>
        <w:ind w:hanging="360" w:left="720"/>
        <w:jc w:val="left"/>
        <w:rPr>
          <w:rFonts w:eastAsia="SimSun"/>
          <w:b/>
          <w:bCs/>
          <w:color w:val="0070C0"/>
          <w:szCs w:val="24"/>
          <w:lang w:eastAsia="zh-CN"/>
        </w:rPr>
      </w:pPr>
      <w:r>
        <w:rPr>
          <w:rFonts w:eastAsia="SimSun"/>
          <w:b/>
          <w:bCs/>
          <w:color w:val="0070C0"/>
          <w:szCs w:val="24"/>
          <w:lang w:eastAsia="zh-CN"/>
        </w:rPr>
        <w:t>Way Forward:</w:t>
      </w:r>
    </w:p>
    <w:p>
      <w:pPr>
        <w:pStyle w:val="ListParagraph"/>
        <w:widowControl/>
        <w:numPr>
          <w:ilvl w:val="1"/>
          <w:numId w:val="6"/>
        </w:numPr>
        <w:suppressAutoHyphens w:val="false"/>
        <w:overflowPunct w:val="false"/>
        <w:spacing w:lineRule="auto" w:line="240" w:before="0" w:after="120"/>
        <w:jc w:val="left"/>
        <w:rPr>
          <w:rFonts w:eastAsia="SimSun"/>
          <w:color w:val="0070C0"/>
          <w:szCs w:val="24"/>
          <w:lang w:eastAsia="zh-CN"/>
        </w:rPr>
      </w:pPr>
      <w:r>
        <w:rPr>
          <w:color w:val="0070C0"/>
          <w:szCs w:val="24"/>
          <w:lang w:eastAsia="zh-CN"/>
        </w:rPr>
        <w:t>Capture two sets of additional UE emission requirements and associated A-MPR</w:t>
      </w:r>
    </w:p>
    <w:p>
      <w:pPr>
        <w:pStyle w:val="ListParagraph"/>
        <w:widowControl/>
        <w:numPr>
          <w:ilvl w:val="2"/>
          <w:numId w:val="6"/>
        </w:numPr>
        <w:suppressAutoHyphens w:val="false"/>
        <w:overflowPunct w:val="false"/>
        <w:spacing w:lineRule="auto" w:line="240" w:before="0" w:after="120"/>
        <w:jc w:val="left"/>
        <w:rPr>
          <w:rFonts w:eastAsia="SimSun"/>
          <w:color w:val="0070C0"/>
          <w:szCs w:val="24"/>
          <w:lang w:eastAsia="zh-CN"/>
        </w:rPr>
      </w:pPr>
      <w:r>
        <w:rPr>
          <w:color w:val="0070C0"/>
          <w:szCs w:val="24"/>
          <w:lang w:eastAsia="zh-CN"/>
        </w:rPr>
        <w:t>Set 1 (NS_09N, NS_10N): covers emission requirements in accordance with EN 301 681 v2.1.2</w:t>
      </w:r>
    </w:p>
    <w:p>
      <w:pPr>
        <w:pStyle w:val="ListParagraph"/>
        <w:widowControl/>
        <w:numPr>
          <w:ilvl w:val="2"/>
          <w:numId w:val="6"/>
        </w:numPr>
        <w:suppressAutoHyphens w:val="false"/>
        <w:overflowPunct w:val="false"/>
        <w:spacing w:lineRule="auto" w:line="240" w:before="0" w:after="120"/>
        <w:jc w:val="left"/>
        <w:rPr>
          <w:rFonts w:eastAsia="SimSun"/>
          <w:color w:val="0070C0"/>
          <w:szCs w:val="24"/>
          <w:lang w:eastAsia="zh-CN"/>
        </w:rPr>
      </w:pPr>
      <w:r>
        <w:rPr>
          <w:color w:val="0070C0"/>
          <w:szCs w:val="24"/>
          <w:lang w:eastAsia="zh-CN"/>
        </w:rPr>
        <w:t xml:space="preserve">Set 2 (NS_13N, NS_14N): aligned with the information in the LS from ETSI TC SES SCN (R4-2509023, SES(25)000071) and should be used to ensure UE support for the new requirements is in place, when appropriate (i.e. if/when the new ETSI requirements get ratified). </w:t>
      </w:r>
    </w:p>
    <w:p>
      <w:pPr>
        <w:pStyle w:val="ListParagraph"/>
        <w:widowControl/>
        <w:numPr>
          <w:ilvl w:val="3"/>
          <w:numId w:val="6"/>
        </w:numPr>
        <w:suppressAutoHyphens w:val="false"/>
        <w:overflowPunct w:val="false"/>
        <w:spacing w:lineRule="auto" w:line="240" w:before="0" w:after="120"/>
        <w:jc w:val="left"/>
        <w:rPr>
          <w:rFonts w:eastAsia="SimSun"/>
          <w:color w:val="0070C0"/>
          <w:szCs w:val="24"/>
          <w:lang w:eastAsia="zh-CN"/>
        </w:rPr>
      </w:pPr>
      <w:r>
        <w:rPr>
          <w:rFonts w:eastAsia="SimSun"/>
          <w:color w:val="0070C0"/>
          <w:szCs w:val="24"/>
          <w:lang w:eastAsia="zh-CN"/>
        </w:rPr>
        <w:t>NS_13N and NS_14N will be captured without applicable bands, for the moment (as per below), until further revision</w:t>
      </w:r>
    </w:p>
    <w:p>
      <w:pPr>
        <w:pStyle w:val="ListParagraph"/>
        <w:widowControl/>
        <w:numPr>
          <w:ilvl w:val="2"/>
          <w:numId w:val="6"/>
        </w:numPr>
        <w:suppressAutoHyphens w:val="false"/>
        <w:overflowPunct w:val="false"/>
        <w:spacing w:lineRule="auto" w:line="240" w:before="0" w:after="120"/>
        <w:jc w:val="left"/>
        <w:rPr>
          <w:rFonts w:eastAsia="SimSun"/>
          <w:color w:val="0070C0"/>
          <w:szCs w:val="24"/>
          <w:lang w:eastAsia="zh-CN"/>
        </w:rPr>
      </w:pPr>
      <w:r>
        <w:rPr>
          <w:rFonts w:eastAsia="SimSun"/>
          <w:color w:val="0070C0"/>
          <w:szCs w:val="24"/>
          <w:lang w:eastAsia="zh-CN"/>
        </w:rPr>
        <w:t>These requirements and corresponding A-MPR may be later revised in the maintenance phase, as necessary</w:t>
      </w:r>
    </w:p>
    <w:p>
      <w:pPr>
        <w:pStyle w:val="ListParagraph"/>
        <w:widowControl/>
        <w:numPr>
          <w:ilvl w:val="1"/>
          <w:numId w:val="6"/>
        </w:numPr>
        <w:suppressAutoHyphens w:val="false"/>
        <w:overflowPunct w:val="false"/>
        <w:spacing w:lineRule="auto" w:line="240" w:before="0" w:after="120"/>
        <w:jc w:val="left"/>
        <w:rPr>
          <w:rFonts w:eastAsia="SimSun"/>
          <w:color w:val="0070C0"/>
          <w:szCs w:val="24"/>
          <w:lang w:eastAsia="zh-CN"/>
        </w:rPr>
      </w:pPr>
      <w:r>
        <w:rPr>
          <w:color w:val="0070C0"/>
          <w:szCs w:val="24"/>
          <w:lang w:eastAsia="zh-CN"/>
        </w:rPr>
        <w:t>Include NOTE5 in the spec, as follows, to clarify requirement applicability:</w:t>
      </w:r>
    </w:p>
    <w:tbl>
      <w:tblPr>
        <w:tblW w:w="9780"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378"/>
        <w:gridCol w:w="1895"/>
        <w:gridCol w:w="1883"/>
        <w:gridCol w:w="1479"/>
        <w:gridCol w:w="1722"/>
        <w:gridCol w:w="1422"/>
      </w:tblGrid>
      <w:tr>
        <w:trPr>
          <w:trHeight w:val="187" w:hRule="atLeast"/>
        </w:trPr>
        <w:tc>
          <w:tcPr>
            <w:tcW w:w="1378"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NS_13N</w:t>
            </w:r>
            <w:r>
              <w:rPr>
                <w:color w:themeColor="accent5" w:themeShade="bf" w:val="2F5496"/>
                <w:vertAlign w:val="superscript"/>
              </w:rPr>
              <w:t>5</w:t>
            </w:r>
          </w:p>
        </w:tc>
        <w:tc>
          <w:tcPr>
            <w:tcW w:w="1895"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6.5.3.3.10</w:t>
            </w:r>
          </w:p>
        </w:tc>
        <w:tc>
          <w:tcPr>
            <w:tcW w:w="1883"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r>
          </w:p>
        </w:tc>
        <w:tc>
          <w:tcPr>
            <w:tcW w:w="1479"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5</w:t>
            </w:r>
          </w:p>
        </w:tc>
        <w:tc>
          <w:tcPr>
            <w:tcW w:w="1722"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r>
          </w:p>
        </w:tc>
        <w:tc>
          <w:tcPr>
            <w:tcW w:w="1422"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r>
          </w:p>
        </w:tc>
      </w:tr>
      <w:tr>
        <w:trPr>
          <w:trHeight w:val="187" w:hRule="atLeast"/>
        </w:trPr>
        <w:tc>
          <w:tcPr>
            <w:tcW w:w="1378"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NS_14N</w:t>
            </w:r>
            <w:r>
              <w:rPr>
                <w:color w:themeColor="accent5" w:themeShade="bf" w:val="2F5496"/>
                <w:vertAlign w:val="superscript"/>
              </w:rPr>
              <w:t>5</w:t>
            </w:r>
          </w:p>
        </w:tc>
        <w:tc>
          <w:tcPr>
            <w:tcW w:w="1895"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6.5.3.3.10</w:t>
            </w:r>
          </w:p>
        </w:tc>
        <w:tc>
          <w:tcPr>
            <w:tcW w:w="1883"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r>
          </w:p>
        </w:tc>
        <w:tc>
          <w:tcPr>
            <w:tcW w:w="1479"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5, 10, 15, 20</w:t>
            </w:r>
          </w:p>
        </w:tc>
        <w:tc>
          <w:tcPr>
            <w:tcW w:w="1722"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r>
          </w:p>
        </w:tc>
        <w:tc>
          <w:tcPr>
            <w:tcW w:w="1422" w:type="dxa"/>
            <w:tcBorders>
              <w:top w:val="single" w:sz="4" w:space="0" w:color="000000"/>
              <w:left w:val="single" w:sz="4" w:space="0" w:color="000000"/>
              <w:bottom w:val="single" w:sz="4" w:space="0" w:color="000000"/>
              <w:right w:val="single" w:sz="4" w:space="0" w:color="000000"/>
            </w:tcBorders>
          </w:tcPr>
          <w:p>
            <w:pPr>
              <w:pStyle w:val="TAC"/>
              <w:rPr>
                <w:color w:themeColor="accent5" w:themeShade="bf" w:val="2F5496"/>
              </w:rPr>
            </w:pPr>
            <w:r>
              <w:rPr>
                <w:color w:themeColor="accent5" w:themeShade="bf" w:val="2F5496"/>
              </w:rPr>
              <w:t>Clause 6.2.3.9</w:t>
            </w:r>
          </w:p>
        </w:tc>
      </w:tr>
      <w:tr>
        <w:trPr>
          <w:trHeight w:val="187" w:hRule="atLeast"/>
        </w:trPr>
        <w:tc>
          <w:tcPr>
            <w:tcW w:w="9779" w:type="dxa"/>
            <w:gridSpan w:val="6"/>
            <w:tcBorders>
              <w:top w:val="single" w:sz="4" w:space="0" w:color="000000"/>
              <w:left w:val="single" w:sz="4" w:space="0" w:color="000000"/>
              <w:bottom w:val="single" w:sz="4" w:space="0" w:color="000000"/>
              <w:right w:val="single" w:sz="4" w:space="0" w:color="000000"/>
            </w:tcBorders>
          </w:tcPr>
          <w:p>
            <w:pPr>
              <w:pStyle w:val="TAN"/>
              <w:rPr>
                <w:color w:themeColor="accent5" w:themeShade="bf" w:val="2F5496"/>
              </w:rPr>
            </w:pPr>
            <w:r>
              <w:rPr>
                <w:color w:themeColor="accent5" w:themeShade="bf" w:val="2F5496"/>
              </w:rPr>
              <w:t>NOTE 1:</w:t>
              <w:tab/>
              <w:t>This NS can be signalled for NR satellite bands that have UTRA services deployed.</w:t>
            </w:r>
          </w:p>
          <w:p>
            <w:pPr>
              <w:pStyle w:val="TAN"/>
              <w:rPr>
                <w:color w:themeColor="accent5" w:themeShade="bf" w:val="2F5496"/>
              </w:rPr>
            </w:pPr>
            <w:r>
              <w:rPr>
                <w:color w:themeColor="accent5" w:themeShade="bf" w:val="2F5496"/>
              </w:rPr>
              <w:t>NOTE 2:</w:t>
              <w:tab/>
              <w:t>A-MPR for the upper 5 MHz of the band is not specified, and therefore shall be used as a guard band.</w:t>
            </w:r>
          </w:p>
          <w:p>
            <w:pPr>
              <w:pStyle w:val="TAN"/>
              <w:rPr>
                <w:color w:themeColor="accent5" w:themeShade="bf" w:val="2F5496"/>
              </w:rPr>
            </w:pPr>
            <w:r>
              <w:rPr>
                <w:color w:themeColor="accent5" w:themeShade="bf" w:val="2F5496"/>
              </w:rPr>
              <w:t>NOTE 3:</w:t>
              <w:tab/>
              <w:t xml:space="preserve">The NS_01 label with the field </w:t>
            </w:r>
            <w:r>
              <w:rPr>
                <w:i/>
                <w:color w:themeColor="accent5" w:themeShade="bf" w:val="2F5496"/>
              </w:rPr>
              <w:t>additionalPmax</w:t>
            </w:r>
            <w:r>
              <w:rPr>
                <w:color w:themeColor="accent5" w:themeShade="bf" w:val="2F5496"/>
              </w:rPr>
              <w:t xml:space="preserve"> [8] absent is default for all NR satellite bands.</w:t>
            </w:r>
          </w:p>
          <w:p>
            <w:pPr>
              <w:pStyle w:val="TAN"/>
              <w:rPr>
                <w:color w:themeColor="accent5" w:themeShade="bf" w:val="2F5496"/>
              </w:rPr>
            </w:pPr>
            <w:r>
              <w:rPr>
                <w:color w:themeColor="accent5" w:themeShade="bf" w:val="2F5496"/>
              </w:rPr>
              <w:t xml:space="preserve">NOTE 4: </w:t>
              <w:tab/>
              <w:t>The NS_07N and NS_08N is signalled based on coordination between operators and subject to regional/national regulation</w:t>
            </w:r>
          </w:p>
          <w:p>
            <w:pPr>
              <w:pStyle w:val="TAN"/>
              <w:rPr>
                <w:color w:themeColor="accent5" w:themeShade="bf" w:val="2F5496"/>
              </w:rPr>
            </w:pPr>
            <w:r>
              <w:rPr>
                <w:color w:themeColor="accent5" w:themeShade="bf" w:val="2F5496"/>
              </w:rPr>
              <w:t>NOTE5: NS_09N (n253, n250), NS_10N (n251) are currently in force. NS_13N (n253, n250), NS_14N (n251) may supersede NS_09N, NS_10N when the new ETSI requirements get ratified.</w:t>
            </w:r>
          </w:p>
        </w:tc>
      </w:tr>
    </w:tbl>
    <w:p>
      <w:pPr>
        <w:pStyle w:val="Normal"/>
        <w:spacing w:before="0" w:after="120"/>
        <w:rPr>
          <w:color w:val="0070C0"/>
          <w:szCs w:val="24"/>
          <w:lang w:eastAsia="zh-CN"/>
        </w:rPr>
      </w:pPr>
      <w:r>
        <w:rPr>
          <w:color w:val="0070C0"/>
          <w:szCs w:val="24"/>
          <w:lang w:eastAsia="zh-CN"/>
        </w:rPr>
      </w:r>
    </w:p>
    <w:p>
      <w:pPr>
        <w:pStyle w:val="Normal"/>
        <w:spacing w:before="0" w:after="120"/>
        <w:rPr>
          <w:color w:val="0070C0"/>
          <w:szCs w:val="24"/>
          <w:lang w:eastAsia="zh-CN"/>
        </w:rPr>
      </w:pPr>
      <w:r>
        <w:rPr>
          <w:color w:val="0070C0"/>
          <w:szCs w:val="24"/>
          <w:lang w:eastAsia="zh-CN"/>
        </w:rPr>
      </w:r>
    </w:p>
    <w:p>
      <w:pPr>
        <w:pStyle w:val="Heading4"/>
        <w:rPr/>
      </w:pPr>
      <w:r>
        <w:rPr/>
        <w:t>Issue 1-1-3: Cross-device GNSS Protection</w:t>
      </w:r>
    </w:p>
    <w:p>
      <w:pPr>
        <w:pStyle w:val="ListParagraph"/>
        <w:widowControl/>
        <w:numPr>
          <w:ilvl w:val="0"/>
          <w:numId w:val="6"/>
        </w:numPr>
        <w:suppressAutoHyphens w:val="false"/>
        <w:overflowPunct w:val="false"/>
        <w:spacing w:lineRule="auto" w:line="240" w:before="0" w:after="120"/>
        <w:ind w:hanging="360" w:left="720"/>
        <w:jc w:val="left"/>
        <w:rPr>
          <w:rFonts w:eastAsia="SimSun"/>
          <w:b/>
          <w:bCs/>
          <w:color w:val="0070C0"/>
          <w:szCs w:val="24"/>
          <w:lang w:eastAsia="zh-CN"/>
        </w:rPr>
      </w:pPr>
      <w:r>
        <w:rPr>
          <w:rFonts w:eastAsia="SimSun"/>
          <w:b/>
          <w:bCs/>
          <w:color w:val="0070C0"/>
          <w:szCs w:val="24"/>
          <w:lang w:eastAsia="zh-CN"/>
        </w:rPr>
        <w:t>Way Forward:</w:t>
      </w:r>
    </w:p>
    <w:p>
      <w:pPr>
        <w:pStyle w:val="ListParagraph"/>
        <w:widowControl/>
        <w:numPr>
          <w:ilvl w:val="1"/>
          <w:numId w:val="6"/>
        </w:numPr>
        <w:suppressAutoHyphens w:val="false"/>
        <w:overflowPunct w:val="false"/>
        <w:spacing w:lineRule="auto" w:line="240" w:before="0" w:after="120"/>
        <w:ind w:hanging="360" w:left="1440"/>
        <w:jc w:val="left"/>
        <w:rPr>
          <w:rFonts w:eastAsia="SimSun"/>
          <w:color w:val="0070C0"/>
          <w:szCs w:val="24"/>
          <w:lang w:eastAsia="zh-CN"/>
        </w:rPr>
      </w:pPr>
      <w:r>
        <w:rPr>
          <w:rFonts w:eastAsia="SimSun"/>
          <w:color w:val="0070C0"/>
          <w:szCs w:val="24"/>
          <w:lang w:eastAsia="zh-CN"/>
        </w:rPr>
        <w:t>It is RAN4’s understanding that requirements for GNSS protection are already covered by the additional ETSI out-of-band emission requirements.</w:t>
      </w:r>
    </w:p>
    <w:p>
      <w:pPr>
        <w:pStyle w:val="Normal"/>
        <w:spacing w:before="0" w:after="120"/>
        <w:rPr>
          <w:color w:val="0070C0"/>
          <w:szCs w:val="24"/>
          <w:lang w:eastAsia="zh-CN"/>
        </w:rPr>
      </w:pPr>
      <w:r>
        <w:rPr>
          <w:color w:val="0070C0"/>
          <w:szCs w:val="24"/>
          <w:lang w:eastAsia="zh-CN"/>
        </w:rPr>
      </w:r>
    </w:p>
    <w:p>
      <w:pPr>
        <w:pStyle w:val="Heading4"/>
        <w:rPr/>
      </w:pPr>
      <w:r>
        <w:rPr/>
        <w:t>Issue 1-1-4: Additional TX OFF Measurement</w:t>
      </w:r>
    </w:p>
    <w:p>
      <w:pPr>
        <w:pStyle w:val="ListParagraph"/>
        <w:widowControl/>
        <w:numPr>
          <w:ilvl w:val="0"/>
          <w:numId w:val="6"/>
        </w:numPr>
        <w:suppressAutoHyphens w:val="false"/>
        <w:overflowPunct w:val="false"/>
        <w:spacing w:lineRule="auto" w:line="240" w:before="0" w:after="120"/>
        <w:ind w:hanging="360" w:left="720"/>
        <w:jc w:val="left"/>
        <w:rPr>
          <w:rFonts w:eastAsia="SimSun"/>
          <w:b/>
          <w:bCs/>
          <w:color w:val="0070C0"/>
          <w:szCs w:val="24"/>
          <w:lang w:eastAsia="zh-CN"/>
        </w:rPr>
      </w:pPr>
      <w:r>
        <w:rPr>
          <w:rFonts w:eastAsia="SimSun"/>
          <w:b/>
          <w:bCs/>
          <w:color w:val="0070C0"/>
          <w:szCs w:val="24"/>
          <w:lang w:eastAsia="zh-CN"/>
        </w:rPr>
        <w:t>Way Forward:</w:t>
      </w:r>
    </w:p>
    <w:p>
      <w:pPr>
        <w:pStyle w:val="ListParagraph"/>
        <w:widowControl/>
        <w:numPr>
          <w:ilvl w:val="1"/>
          <w:numId w:val="6"/>
        </w:numPr>
        <w:suppressAutoHyphens w:val="false"/>
        <w:overflowPunct w:val="false"/>
        <w:spacing w:lineRule="auto" w:line="240" w:before="0" w:after="120"/>
        <w:ind w:hanging="360" w:left="1440"/>
        <w:jc w:val="left"/>
        <w:rPr>
          <w:rFonts w:eastAsia="SimSun"/>
          <w:color w:val="0070C0"/>
          <w:szCs w:val="24"/>
          <w:lang w:eastAsia="zh-CN"/>
        </w:rPr>
      </w:pPr>
      <w:r>
        <w:rPr>
          <w:rFonts w:eastAsia="SimSun"/>
          <w:color w:val="0070C0"/>
          <w:szCs w:val="24"/>
          <w:lang w:eastAsia="zh-CN"/>
        </w:rPr>
        <w:t>Any additional requirements for Tx OFF measurement in the radio astronomy frequency range, if necessary, will be handled in the maintenance phase.</w:t>
      </w:r>
    </w:p>
    <w:p>
      <w:pPr>
        <w:pStyle w:val="Normal"/>
        <w:rPr>
          <w:rFonts w:eastAsia="SimSun"/>
          <w:color w:val="0070C0"/>
          <w:szCs w:val="24"/>
          <w:lang w:eastAsia="zh-CN"/>
        </w:rPr>
      </w:pPr>
      <w:r>
        <w:rPr>
          <w:rFonts w:eastAsia="SimSun"/>
          <w:color w:val="0070C0"/>
          <w:szCs w:val="24"/>
          <w:lang w:eastAsia="zh-CN"/>
        </w:rPr>
      </w:r>
    </w:p>
    <w:p>
      <w:pPr>
        <w:pStyle w:val="Normal"/>
        <w:rPr>
          <w:lang w:eastAsia="ja-JP"/>
        </w:rPr>
      </w:pPr>
      <w:r>
        <w:rPr>
          <w:lang w:eastAsia="ja-JP"/>
        </w:rPr>
      </w:r>
    </w:p>
    <w:p>
      <w:pPr>
        <w:pStyle w:val="Heading3"/>
        <w:rPr/>
      </w:pPr>
      <w:r>
        <w:rPr>
          <w:lang w:eastAsia="ja-JP"/>
        </w:rPr>
        <w:t>2.4.3</w:t>
        <w:tab/>
        <w:t>Remaining Open issues after RAN4#116</w:t>
      </w:r>
    </w:p>
    <w:p>
      <w:pPr>
        <w:pStyle w:val="Normal"/>
        <w:rPr>
          <w:lang w:eastAsia="ja-JP"/>
        </w:rPr>
      </w:pPr>
      <w:r>
        <w:rPr>
          <w:lang w:eastAsia="ja-JP"/>
        </w:rPr>
        <w:t>None in either Core or Performance Parts.</w:t>
      </w:r>
    </w:p>
    <w:p>
      <w:pPr>
        <w:pStyle w:val="Normal"/>
        <w:rPr>
          <w:lang w:eastAsia="ja-JP"/>
        </w:rPr>
      </w:pPr>
      <w:r>
        <w:rPr>
          <w:lang w:eastAsia="ja-JP"/>
        </w:rPr>
        <w:t>The Work Item can be marked as Complete.</w:t>
      </w:r>
    </w:p>
    <w:p>
      <w:pPr>
        <w:pStyle w:val="Normal"/>
        <w:rPr>
          <w:lang w:eastAsia="ja-JP"/>
        </w:rPr>
      </w:pPr>
      <w:r>
        <w:rPr>
          <w:lang w:eastAsia="ja-JP"/>
        </w:rPr>
      </w:r>
    </w:p>
    <w:p>
      <w:pPr>
        <w:pStyle w:val="Normal"/>
        <w:rPr>
          <w:lang w:eastAsia="ja-JP"/>
        </w:rPr>
      </w:pPr>
      <w:r>
        <w:rPr>
          <w:lang w:eastAsia="ja-JP"/>
        </w:rPr>
      </w:r>
    </w:p>
    <w:p>
      <w:pPr>
        <w:pStyle w:val="Heading2"/>
        <w:rPr/>
      </w:pPr>
      <w:r>
        <w:rPr/>
        <w:t>4.</w:t>
        <w:tab/>
        <w:t>References</w:t>
      </w:r>
    </w:p>
    <w:p>
      <w:pPr>
        <w:pStyle w:val="NO"/>
        <w:rPr>
          <w:rFonts w:ascii="Arial" w:hAnsi="Arial" w:cs="Arial"/>
          <w:iCs/>
          <w:color w:val="FF0000"/>
        </w:rPr>
      </w:pPr>
      <w:r>
        <w:rPr>
          <w:rFonts w:cs="Arial" w:ascii="Arial" w:hAnsi="Arial"/>
          <w:iCs/>
          <w:color w:val="FF0000"/>
        </w:rPr>
        <w:t>NOTE:</w:t>
        <w:tab/>
        <w:t>This can be e.g. a list of all related Tdocs in the affected WGs since last TSG, references to LSs, produced TRs/TSs, the work/study item description or status reports of previous TSGs.</w:t>
      </w:r>
    </w:p>
    <w:p>
      <w:pPr>
        <w:pStyle w:val="FP"/>
        <w:numPr>
          <w:ilvl w:val="0"/>
          <w:numId w:val="5"/>
        </w:numPr>
        <w:rPr>
          <w:sz w:val="18"/>
          <w:szCs w:val="18"/>
        </w:rPr>
      </w:pPr>
      <w:r>
        <w:rPr>
          <w:sz w:val="18"/>
          <w:szCs w:val="18"/>
        </w:rPr>
        <w:t>RP-250983 - Revised WID on New NR NTN bands to support Extended L-band and combined MSS L-band and Extended L-band ranges – Aalyria, Inmarsat, Viasat</w:t>
      </w:r>
    </w:p>
    <w:p>
      <w:pPr>
        <w:pStyle w:val="FP"/>
        <w:numPr>
          <w:ilvl w:val="0"/>
          <w:numId w:val="5"/>
        </w:numPr>
        <w:rPr>
          <w:sz w:val="18"/>
          <w:szCs w:val="18"/>
        </w:rPr>
      </w:pPr>
      <w:r>
        <w:rPr>
          <w:sz w:val="18"/>
          <w:szCs w:val="18"/>
        </w:rPr>
        <w:t>R4-2511751</w:t>
        <w:tab/>
        <w:t>WF on NR IOT-NTN band emission requirements</w:t>
        <w:tab/>
        <w:t>Aalyria</w:t>
      </w:r>
    </w:p>
    <w:p>
      <w:pPr>
        <w:pStyle w:val="FP"/>
        <w:numPr>
          <w:ilvl w:val="0"/>
          <w:numId w:val="5"/>
        </w:numPr>
        <w:rPr>
          <w:sz w:val="18"/>
          <w:szCs w:val="18"/>
        </w:rPr>
      </w:pPr>
      <w:r>
        <w:rPr>
          <w:sz w:val="18"/>
          <w:szCs w:val="18"/>
        </w:rPr>
        <w:t>R4-2510922 - CR for TS 38.108, Introduction on band n253, n251 and n250</w:t>
        <w:tab/>
        <w:tab/>
        <w:t>CATT, THALES, ZTE, Aalyria</w:t>
      </w:r>
    </w:p>
    <w:p>
      <w:pPr>
        <w:pStyle w:val="FP"/>
        <w:numPr>
          <w:ilvl w:val="0"/>
          <w:numId w:val="5"/>
        </w:numPr>
        <w:rPr>
          <w:sz w:val="18"/>
          <w:szCs w:val="18"/>
        </w:rPr>
      </w:pPr>
      <w:r>
        <w:rPr>
          <w:sz w:val="18"/>
          <w:szCs w:val="18"/>
        </w:rPr>
        <w:t>R4-2511631 - CR to TS 38.133: Introduction of new NTN Combined L-bands n253, n251, n250</w:t>
        <w:tab/>
        <w:t>Aalyria, ZTE Corporation, Sanechips, THALES</w:t>
      </w:r>
    </w:p>
    <w:p>
      <w:pPr>
        <w:pStyle w:val="FP"/>
        <w:numPr>
          <w:ilvl w:val="0"/>
          <w:numId w:val="5"/>
        </w:numPr>
        <w:rPr>
          <w:sz w:val="18"/>
          <w:szCs w:val="18"/>
        </w:rPr>
      </w:pPr>
      <w:r>
        <w:rPr>
          <w:sz w:val="18"/>
          <w:szCs w:val="18"/>
        </w:rPr>
        <w:t>R4-2511802 - CR to TR 38.863: Introduction of combined L-bands n253, n251, n250</w:t>
        <w:tab/>
        <w:t>Aalyria, THALES, Apple</w:t>
      </w:r>
    </w:p>
    <w:p>
      <w:pPr>
        <w:pStyle w:val="FP"/>
        <w:numPr>
          <w:ilvl w:val="0"/>
          <w:numId w:val="5"/>
        </w:numPr>
        <w:rPr>
          <w:sz w:val="18"/>
          <w:szCs w:val="18"/>
        </w:rPr>
      </w:pPr>
      <w:r>
        <w:rPr>
          <w:sz w:val="18"/>
          <w:szCs w:val="18"/>
        </w:rPr>
        <w:t>R4-2511848 - Reply LS on L-band NTN emission requirements</w:t>
        <w:tab/>
        <w:t>ViaSat</w:t>
      </w:r>
    </w:p>
    <w:p>
      <w:pPr>
        <w:pStyle w:val="FP"/>
        <w:numPr>
          <w:ilvl w:val="0"/>
          <w:numId w:val="5"/>
        </w:numPr>
        <w:rPr>
          <w:sz w:val="18"/>
          <w:szCs w:val="18"/>
        </w:rPr>
      </w:pPr>
      <w:r>
        <w:rPr>
          <w:sz w:val="18"/>
          <w:szCs w:val="18"/>
        </w:rPr>
        <w:t>R4-2511861 - CR to TS 38.101-5: Introduction of combined L-bands</w:t>
        <w:tab/>
        <w:t>Apple, Aalyria Technologies</w:t>
      </w:r>
    </w:p>
    <w:p>
      <w:pPr>
        <w:pStyle w:val="FP"/>
        <w:numPr>
          <w:ilvl w:val="0"/>
          <w:numId w:val="5"/>
        </w:numPr>
        <w:rPr>
          <w:sz w:val="18"/>
          <w:szCs w:val="18"/>
        </w:rPr>
      </w:pPr>
      <w:r>
        <w:rPr>
          <w:sz w:val="18"/>
          <w:szCs w:val="18"/>
        </w:rPr>
        <w:t>R4-2509023</w:t>
        <w:tab/>
        <w:t>LS on Harmonised Standard for NTN capable UE</w:t>
        <w:tab/>
        <w:t>ETSI TC SES</w:t>
      </w:r>
    </w:p>
    <w:sectPr>
      <w:footerReference w:type="even" r:id="rId2"/>
      <w:footerReference w:type="default" r:id="rId3"/>
      <w:footerReference w:type="first" r:id="rId4"/>
      <w:type w:val="nextPage"/>
      <w:pgSz w:w="11906" w:h="16838"/>
      <w:pgMar w:left="851" w:right="851" w:gutter="0" w:header="0" w:top="851" w:footer="720" w:bottom="851"/>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Courier New">
    <w:charset w:val="01"/>
    <w:family w:val="roman"/>
    <w:pitch w:val="variable"/>
  </w:font>
  <w:font w:name="Century">
    <w:charset w:val="01"/>
    <w:family w:val="roman"/>
    <w:pitch w:val="variable"/>
  </w:font>
  <w:font w:name="Calibr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MS PGothic">
    <w:charset w:val="01"/>
    <w:family w:val="roman"/>
    <w:pitch w:val="variable"/>
  </w:font>
  <w:font w:name="Symbol">
    <w:charset w:val="02"/>
    <w:family w:val="auto"/>
    <w:pitch w:val="default"/>
  </w:font>
  <w:font w:name="ZapfDingbats">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cent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cent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92"/>
        </w:tabs>
        <w:ind w:left="992" w:hanging="425"/>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360"/>
        </w:tabs>
        <w:ind w:left="340" w:hanging="340"/>
      </w:pPr>
      <w:rPr>
        <w:rFonts w:ascii="Symbol" w:hAnsi="Symbol" w:cs="Symbol" w:hint="default"/>
        <w:color w:val="auto"/>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851"/>
        </w:tabs>
        <w:ind w:left="851" w:hanging="851"/>
      </w:pPr>
      <w:rPr>
        <w:rFonts w:ascii="ZapfDingbats" w:hAnsi="ZapfDingbats" w:cs="ZapfDingbats" w:hint="default"/>
        <w:sz w:val="20"/>
        <w:i w:val="false"/>
        <w:b/>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numFmt w:val="bullet"/>
      <w:lvlText w:val="-"/>
      <w:lvlJc w:val="left"/>
      <w:pPr>
        <w:tabs>
          <w:tab w:val="num" w:pos="0"/>
        </w:tabs>
        <w:ind w:left="924" w:hanging="360"/>
      </w:pPr>
      <w:rPr>
        <w:rFonts w:ascii="Arial" w:hAnsi="Arial" w:cs="Arial" w:hint="default"/>
      </w:rPr>
    </w:lvl>
    <w:lvl w:ilvl="1">
      <w:start w:val="1"/>
      <w:numFmt w:val="bullet"/>
      <w:lvlText w:val="o"/>
      <w:lvlJc w:val="left"/>
      <w:pPr>
        <w:tabs>
          <w:tab w:val="num" w:pos="0"/>
        </w:tabs>
        <w:ind w:left="1644" w:hanging="360"/>
      </w:pPr>
      <w:rPr>
        <w:rFonts w:ascii="Courier New" w:hAnsi="Courier New" w:cs="Courier New" w:hint="default"/>
      </w:rPr>
    </w:lvl>
    <w:lvl w:ilvl="2">
      <w:start w:val="1"/>
      <w:numFmt w:val="bullet"/>
      <w:lvlText w:val=""/>
      <w:lvlJc w:val="left"/>
      <w:pPr>
        <w:tabs>
          <w:tab w:val="num" w:pos="0"/>
        </w:tabs>
        <w:ind w:left="2364" w:hanging="360"/>
      </w:pPr>
      <w:rPr>
        <w:rFonts w:ascii="Wingdings" w:hAnsi="Wingdings" w:cs="Wingdings" w:hint="default"/>
      </w:rPr>
    </w:lvl>
    <w:lvl w:ilvl="3">
      <w:start w:val="1"/>
      <w:numFmt w:val="bullet"/>
      <w:lvlText w:val=""/>
      <w:lvlJc w:val="left"/>
      <w:pPr>
        <w:tabs>
          <w:tab w:val="num" w:pos="0"/>
        </w:tabs>
        <w:ind w:left="3084" w:hanging="360"/>
      </w:pPr>
      <w:rPr>
        <w:rFonts w:ascii="Symbol" w:hAnsi="Symbol" w:cs="Symbol" w:hint="default"/>
      </w:rPr>
    </w:lvl>
    <w:lvl w:ilvl="4">
      <w:start w:val="1"/>
      <w:numFmt w:val="bullet"/>
      <w:lvlText w:val="o"/>
      <w:lvlJc w:val="left"/>
      <w:pPr>
        <w:tabs>
          <w:tab w:val="num" w:pos="0"/>
        </w:tabs>
        <w:ind w:left="3804" w:hanging="360"/>
      </w:pPr>
      <w:rPr>
        <w:rFonts w:ascii="Courier New" w:hAnsi="Courier New" w:cs="Courier New" w:hint="default"/>
      </w:rPr>
    </w:lvl>
    <w:lvl w:ilvl="5">
      <w:start w:val="1"/>
      <w:numFmt w:val="bullet"/>
      <w:lvlText w:val=""/>
      <w:lvlJc w:val="left"/>
      <w:pPr>
        <w:tabs>
          <w:tab w:val="num" w:pos="0"/>
        </w:tabs>
        <w:ind w:left="4524" w:hanging="360"/>
      </w:pPr>
      <w:rPr>
        <w:rFonts w:ascii="Wingdings" w:hAnsi="Wingdings" w:cs="Wingdings" w:hint="default"/>
      </w:rPr>
    </w:lvl>
    <w:lvl w:ilvl="6">
      <w:start w:val="1"/>
      <w:numFmt w:val="bullet"/>
      <w:lvlText w:val=""/>
      <w:lvlJc w:val="left"/>
      <w:pPr>
        <w:tabs>
          <w:tab w:val="num" w:pos="0"/>
        </w:tabs>
        <w:ind w:left="5244" w:hanging="360"/>
      </w:pPr>
      <w:rPr>
        <w:rFonts w:ascii="Symbol" w:hAnsi="Symbol" w:cs="Symbol" w:hint="default"/>
      </w:rPr>
    </w:lvl>
    <w:lvl w:ilvl="7">
      <w:start w:val="1"/>
      <w:numFmt w:val="bullet"/>
      <w:lvlText w:val="o"/>
      <w:lvlJc w:val="left"/>
      <w:pPr>
        <w:tabs>
          <w:tab w:val="num" w:pos="0"/>
        </w:tabs>
        <w:ind w:left="5964" w:hanging="360"/>
      </w:pPr>
      <w:rPr>
        <w:rFonts w:ascii="Courier New" w:hAnsi="Courier New" w:cs="Courier New" w:hint="default"/>
      </w:rPr>
    </w:lvl>
    <w:lvl w:ilvl="8">
      <w:start w:val="1"/>
      <w:numFmt w:val="bullet"/>
      <w:lvlText w:val=""/>
      <w:lvlJc w:val="left"/>
      <w:pPr>
        <w:tabs>
          <w:tab w:val="num" w:pos="0"/>
        </w:tabs>
        <w:ind w:left="6684"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90"/>
  <w:defaultTabStop w:val="567"/>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MS Mincho" w:cs="Times New Roman"/>
        <w:lang w:val="en-US" w:eastAsia="ja-JP"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31ed4"/>
    <w:pPr>
      <w:widowControl/>
      <w:suppressAutoHyphens w:val="true"/>
      <w:bidi w:val="0"/>
      <w:spacing w:lineRule="auto" w:line="276" w:before="0" w:after="180"/>
      <w:jc w:val="left"/>
      <w:textAlignment w:val="baseline"/>
    </w:pPr>
    <w:rPr>
      <w:rFonts w:eastAsia="Times New Roman" w:ascii="Times New Roman" w:hAnsi="Times New Roman" w:cs="Times New Roman"/>
      <w:color w:val="auto"/>
      <w:kern w:val="0"/>
      <w:sz w:val="20"/>
      <w:szCs w:val="20"/>
      <w:lang w:val="en-GB" w:eastAsia="en-GB" w:bidi="ar-SA"/>
    </w:rPr>
  </w:style>
  <w:style w:type="paragraph" w:styleId="Heading1">
    <w:name w:val="Heading 1"/>
    <w:next w:val="Normal"/>
    <w:qFormat/>
    <w:rsid w:val="00231ed4"/>
    <w:pPr>
      <w:keepNext w:val="true"/>
      <w:keepLines/>
      <w:widowControl/>
      <w:pBdr>
        <w:top w:val="single" w:sz="12" w:space="3" w:color="000000"/>
      </w:pBdr>
      <w:suppressAutoHyphens w:val="true"/>
      <w:bidi w:val="0"/>
      <w:spacing w:lineRule="auto" w:line="276" w:before="240" w:after="180"/>
      <w:ind w:hanging="1134" w:left="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Heading2">
    <w:name w:val="Heading 2"/>
    <w:basedOn w:val="Heading1"/>
    <w:next w:val="Normal"/>
    <w:link w:val="Heading2Char"/>
    <w:qFormat/>
    <w:rsid w:val="00231ed4"/>
    <w:pPr>
      <w:pBdr>
        <w:top w:val="nil"/>
      </w:pBdr>
      <w:spacing w:before="180" w:after="180"/>
      <w:outlineLvl w:val="1"/>
    </w:pPr>
    <w:rPr>
      <w:sz w:val="32"/>
    </w:rPr>
  </w:style>
  <w:style w:type="paragraph" w:styleId="Heading3">
    <w:name w:val="Heading 3"/>
    <w:basedOn w:val="Heading2"/>
    <w:next w:val="Normal"/>
    <w:qFormat/>
    <w:rsid w:val="00231ed4"/>
    <w:pPr>
      <w:spacing w:before="120" w:after="180"/>
      <w:outlineLvl w:val="2"/>
    </w:pPr>
    <w:rPr>
      <w:sz w:val="28"/>
    </w:rPr>
  </w:style>
  <w:style w:type="paragraph" w:styleId="Heading4">
    <w:name w:val="Heading 4"/>
    <w:basedOn w:val="Heading3"/>
    <w:next w:val="Normal"/>
    <w:link w:val="Heading4Char"/>
    <w:qFormat/>
    <w:rsid w:val="00231ed4"/>
    <w:pPr>
      <w:ind w:hanging="1418" w:left="1418"/>
      <w:outlineLvl w:val="3"/>
    </w:pPr>
    <w:rPr>
      <w:sz w:val="24"/>
    </w:rPr>
  </w:style>
  <w:style w:type="paragraph" w:styleId="Heading5">
    <w:name w:val="Heading 5"/>
    <w:basedOn w:val="Heading4"/>
    <w:next w:val="Normal"/>
    <w:qFormat/>
    <w:rsid w:val="00231ed4"/>
    <w:pPr>
      <w:ind w:hanging="1701" w:left="1701"/>
      <w:outlineLvl w:val="4"/>
    </w:pPr>
    <w:rPr>
      <w:sz w:val="22"/>
    </w:rPr>
  </w:style>
  <w:style w:type="paragraph" w:styleId="Heading6">
    <w:name w:val="Heading 6"/>
    <w:basedOn w:val="H6"/>
    <w:next w:val="Normal"/>
    <w:link w:val="Heading6Char"/>
    <w:qFormat/>
    <w:rsid w:val="00231ed4"/>
    <w:pPr>
      <w:outlineLvl w:val="5"/>
    </w:pPr>
    <w:rPr/>
  </w:style>
  <w:style w:type="paragraph" w:styleId="Heading7">
    <w:name w:val="Heading 7"/>
    <w:basedOn w:val="H6"/>
    <w:next w:val="Normal"/>
    <w:link w:val="Heading7Char"/>
    <w:qFormat/>
    <w:rsid w:val="00231ed4"/>
    <w:pPr>
      <w:outlineLvl w:val="6"/>
    </w:pPr>
    <w:rPr/>
  </w:style>
  <w:style w:type="paragraph" w:styleId="Heading8">
    <w:name w:val="Heading 8"/>
    <w:basedOn w:val="Heading1"/>
    <w:next w:val="Normal"/>
    <w:qFormat/>
    <w:rsid w:val="00231ed4"/>
    <w:pPr>
      <w:ind w:hanging="0" w:left="0"/>
      <w:outlineLvl w:val="7"/>
    </w:pPr>
    <w:rPr/>
  </w:style>
  <w:style w:type="paragraph" w:styleId="Heading9">
    <w:name w:val="Heading 9"/>
    <w:basedOn w:val="Heading8"/>
    <w:next w:val="Normal"/>
    <w:qFormat/>
    <w:rsid w:val="00231ed4"/>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sid w:val="00231ed4"/>
    <w:rPr>
      <w:b/>
      <w:sz w:val="16"/>
      <w:vertAlign w:val="superscript"/>
    </w:rPr>
  </w:style>
  <w:style w:type="character" w:styleId="FootnoteReference">
    <w:name w:val="Footnote Reference"/>
    <w:rPr>
      <w:b/>
      <w:sz w:val="16"/>
      <w:vertAlign w:val="superscript"/>
    </w:rPr>
  </w:style>
  <w:style w:type="character" w:styleId="ZGSM" w:customStyle="1">
    <w:name w:val="ZGSM"/>
    <w:qFormat/>
    <w:rsid w:val="00231ed4"/>
    <w:rPr/>
  </w:style>
  <w:style w:type="character" w:styleId="PageNumber">
    <w:name w:val="Page Number"/>
    <w:basedOn w:val="DefaultParagraphFont"/>
    <w:rsid w:val="008d70d2"/>
    <w:rPr/>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styleId="BodyTextChar" w:customStyle="1">
    <w:name w:val="Body Text Char"/>
    <w:qFormat/>
    <w:rsid w:val="001d2c1a"/>
    <w:rPr>
      <w:rFonts w:eastAsia="MS Gothic"/>
      <w:sz w:val="24"/>
      <w:lang w:val="en-GB"/>
    </w:rPr>
  </w:style>
  <w:style w:type="character" w:styleId="BodyTextIndentChar" w:customStyle="1">
    <w:name w:val="Body Text Indent Char"/>
    <w:qFormat/>
    <w:rsid w:val="001d2c1a"/>
    <w:rPr>
      <w:rFonts w:eastAsia="MS Gothic"/>
      <w:sz w:val="24"/>
      <w:lang w:val="en-GB"/>
    </w:rPr>
  </w:style>
  <w:style w:type="character" w:styleId="DocumentMapChar" w:customStyle="1">
    <w:name w:val="Document Map Char"/>
    <w:link w:val="DocumentMap"/>
    <w:qFormat/>
    <w:rsid w:val="001d2c1a"/>
    <w:rPr>
      <w:rFonts w:ascii="Tahoma" w:hAnsi="Tahoma" w:eastAsia="MS Gothic"/>
      <w:sz w:val="24"/>
      <w:shd w:fill="000080" w:val="clear"/>
      <w:lang w:val="en-GB"/>
    </w:rPr>
  </w:style>
  <w:style w:type="character" w:styleId="PlainTextChar" w:customStyle="1">
    <w:name w:val="Plain Text Char"/>
    <w:link w:val="PlainText"/>
    <w:qFormat/>
    <w:rsid w:val="001d2c1a"/>
    <w:rPr>
      <w:rFonts w:ascii="Courier New" w:hAnsi="Courier New" w:eastAsia="MS Gothic"/>
      <w:sz w:val="24"/>
      <w:lang w:val="en-GB"/>
    </w:rPr>
  </w:style>
  <w:style w:type="character" w:styleId="BodyTextIndent2Char" w:customStyle="1">
    <w:name w:val="Body Text Indent 2 Char"/>
    <w:link w:val="BodyTextIndent2"/>
    <w:qFormat/>
    <w:rsid w:val="001d2c1a"/>
    <w:rPr>
      <w:rFonts w:eastAsia="MS Gothic"/>
      <w:kern w:val="2"/>
      <w:sz w:val="24"/>
      <w:lang w:val="en-GB"/>
    </w:rPr>
  </w:style>
  <w:style w:type="character" w:styleId="TitleChar" w:customStyle="1">
    <w:name w:val="Title Char"/>
    <w:link w:val="Title"/>
    <w:qFormat/>
    <w:rsid w:val="001d2c1a"/>
    <w:rPr>
      <w:rFonts w:ascii="Arial" w:hAnsi="Arial" w:eastAsia="MS Gothic"/>
      <w:b/>
      <w:sz w:val="24"/>
      <w:lang w:val="en-GB"/>
    </w:rPr>
  </w:style>
  <w:style w:type="character" w:styleId="BodyText3Char" w:customStyle="1">
    <w:name w:val="Body Text 3 Char"/>
    <w:link w:val="BodyText3"/>
    <w:qFormat/>
    <w:rsid w:val="001d2c1a"/>
    <w:rPr>
      <w:rFonts w:eastAsia="MS Gothic"/>
      <w:sz w:val="24"/>
      <w:lang w:val="en-GB"/>
    </w:rPr>
  </w:style>
  <w:style w:type="character" w:styleId="annotationreference">
    <w:name w:val="annotation reference"/>
    <w:qFormat/>
    <w:rsid w:val="001d2c1a"/>
    <w:rPr>
      <w:rFonts w:eastAsia="Times New Roman"/>
      <w:kern w:val="2"/>
      <w:sz w:val="16"/>
      <w:lang w:val="en-GB"/>
    </w:rPr>
  </w:style>
  <w:style w:type="character" w:styleId="BalloonTextChar" w:customStyle="1">
    <w:name w:val="Balloon Text Char"/>
    <w:link w:val="BalloonText"/>
    <w:qFormat/>
    <w:rsid w:val="001d2c1a"/>
    <w:rPr>
      <w:rFonts w:ascii="Arial" w:hAnsi="Arial" w:eastAsia="MS Gothic"/>
      <w:sz w:val="18"/>
      <w:lang w:val="en-GB"/>
    </w:rPr>
  </w:style>
  <w:style w:type="character" w:styleId="CommentTextChar" w:customStyle="1">
    <w:name w:val="Comment Text Char"/>
    <w:link w:val="AnnotationText"/>
    <w:qFormat/>
    <w:rsid w:val="001d2c1a"/>
    <w:rPr>
      <w:rFonts w:eastAsia="MS Gothic"/>
      <w:lang w:val="en-GB"/>
    </w:rPr>
  </w:style>
  <w:style w:type="character" w:styleId="Style5" w:customStyle="1">
    <w:name w:val="図表番号 (文字)"/>
    <w:uiPriority w:val="35"/>
    <w:qFormat/>
    <w:rsid w:val="001d2c1a"/>
    <w:rPr>
      <w:rFonts w:eastAsia="MS Gothic"/>
      <w:b/>
      <w:kern w:val="2"/>
      <w:sz w:val="24"/>
      <w:lang w:val="en-GB"/>
    </w:rPr>
  </w:style>
  <w:style w:type="character" w:styleId="CommentSubjectChar" w:customStyle="1">
    <w:name w:val="Comment Subject Char"/>
    <w:link w:val="annotationsubject"/>
    <w:qFormat/>
    <w:rsid w:val="001d2c1a"/>
    <w:rPr>
      <w:rFonts w:eastAsia="MS Gothic"/>
      <w:b/>
      <w:sz w:val="24"/>
      <w:lang w:val="en-GB"/>
    </w:rPr>
  </w:style>
  <w:style w:type="character" w:styleId="TACChar" w:customStyle="1">
    <w:name w:val="TAC Char"/>
    <w:link w:val="TAC"/>
    <w:qFormat/>
    <w:rsid w:val="001d2c1a"/>
    <w:rPr>
      <w:rFonts w:ascii="Arial" w:hAnsi="Arial" w:eastAsia="Times New Roman"/>
      <w:sz w:val="18"/>
      <w:lang w:val="en-GB" w:eastAsia="en-GB"/>
    </w:rPr>
  </w:style>
  <w:style w:type="character" w:styleId="TAHCar" w:customStyle="1">
    <w:name w:val="TAH Car"/>
    <w:link w:val="TAH"/>
    <w:qFormat/>
    <w:rsid w:val="001d2c1a"/>
    <w:rPr>
      <w:rFonts w:ascii="Arial" w:hAnsi="Arial" w:eastAsia="Times New Roman"/>
      <w:b/>
      <w:sz w:val="18"/>
      <w:lang w:val="en-GB" w:eastAsia="en-GB"/>
    </w:rPr>
  </w:style>
  <w:style w:type="character" w:styleId="HeaderChar" w:customStyle="1">
    <w:name w:val="Header Char"/>
    <w:link w:val="Header"/>
    <w:qFormat/>
    <w:locked/>
    <w:rsid w:val="001d2c1a"/>
    <w:rPr>
      <w:rFonts w:ascii="Arial" w:hAnsi="Arial" w:eastAsia="Times New Roman"/>
      <w:b/>
      <w:sz w:val="18"/>
      <w:lang w:val="en-GB" w:eastAsia="en-GB"/>
    </w:rPr>
  </w:style>
  <w:style w:type="character" w:styleId="Doc-text2Char" w:customStyle="1">
    <w:name w:val="Doc-text2 Char"/>
    <w:link w:val="Doc-text2"/>
    <w:qFormat/>
    <w:rsid w:val="001d2c1a"/>
    <w:rPr>
      <w:rFonts w:ascii="Arial" w:hAnsi="Arial"/>
      <w:szCs w:val="24"/>
      <w:lang w:val="en-GB" w:eastAsia="en-GB"/>
    </w:rPr>
  </w:style>
  <w:style w:type="character" w:styleId="Doc-titleChar" w:customStyle="1">
    <w:name w:val="Doc-title Char"/>
    <w:link w:val="Doc-title"/>
    <w:qFormat/>
    <w:rsid w:val="001d2c1a"/>
    <w:rPr>
      <w:rFonts w:ascii="Arial" w:hAnsi="Arial"/>
      <w:szCs w:val="24"/>
      <w:lang w:val="en-GB" w:eastAsia="en-GB"/>
    </w:rPr>
  </w:style>
  <w:style w:type="character" w:styleId="ListParagraphChar" w:customStyle="1">
    <w:name w:val="List Paragraph Char"/>
    <w:link w:val="ListParagraph"/>
    <w:uiPriority w:val="34"/>
    <w:qFormat/>
    <w:rsid w:val="001d2c1a"/>
    <w:rPr>
      <w:rFonts w:ascii="Century" w:hAnsi="Century"/>
      <w:kern w:val="2"/>
      <w:sz w:val="21"/>
      <w:szCs w:val="22"/>
    </w:rPr>
  </w:style>
  <w:style w:type="character" w:styleId="maintextChar" w:customStyle="1">
    <w:name w:val="main text Char"/>
    <w:link w:val="maintext"/>
    <w:qFormat/>
    <w:rsid w:val="001d2c1a"/>
    <w:rPr>
      <w:rFonts w:ascii="Calibri" w:hAnsi="Calibri" w:eastAsia="Malgun Gothic" w:cs="Batang"/>
      <w:lang w:val="en-GB" w:eastAsia="ko-KR"/>
    </w:rPr>
  </w:style>
  <w:style w:type="character" w:styleId="B1Char1" w:customStyle="1">
    <w:name w:val="B1 Char1"/>
    <w:link w:val="B1"/>
    <w:qFormat/>
    <w:locked/>
    <w:rsid w:val="001d2c1a"/>
    <w:rPr>
      <w:rFonts w:eastAsia="Times New Roman"/>
      <w:lang w:val="en-GB" w:eastAsia="en-GB"/>
    </w:rPr>
  </w:style>
  <w:style w:type="character" w:styleId="2222Char" w:customStyle="1">
    <w:name w:val="스타일 스타일 스타일 스타일 양쪽 첫 줄:  2 글자 + 첫 줄:  2 글자 + 첫 줄:  2 글자 + 첫 줄:  2... Char"/>
    <w:link w:val="2222"/>
    <w:qFormat/>
    <w:rsid w:val="001d2c1a"/>
    <w:rPr>
      <w:rFonts w:eastAsia="Malgun Gothic" w:cs="Batang"/>
      <w:lang w:val="en-GB" w:eastAsia="en-US"/>
    </w:rPr>
  </w:style>
  <w:style w:type="character" w:styleId="TANChar" w:customStyle="1">
    <w:name w:val="TAN Char"/>
    <w:link w:val="TAN"/>
    <w:qFormat/>
    <w:rsid w:val="001d2c1a"/>
    <w:rPr>
      <w:rFonts w:ascii="Arial" w:hAnsi="Arial" w:eastAsia="Times New Roman"/>
      <w:sz w:val="18"/>
      <w:lang w:val="en-GB" w:eastAsia="en-GB"/>
    </w:rPr>
  </w:style>
  <w:style w:type="character" w:styleId="FooterChar" w:customStyle="1">
    <w:name w:val="Footer Char"/>
    <w:link w:val="Footer"/>
    <w:qFormat/>
    <w:rsid w:val="001d2c1a"/>
    <w:rPr>
      <w:rFonts w:ascii="Arial" w:hAnsi="Arial" w:eastAsia="Times New Roman"/>
      <w:b/>
      <w:i/>
      <w:sz w:val="18"/>
      <w:lang w:val="en-GB" w:eastAsia="en-GB"/>
    </w:rPr>
  </w:style>
  <w:style w:type="character" w:styleId="THChar" w:customStyle="1">
    <w:name w:val="TH Char"/>
    <w:link w:val="TH"/>
    <w:qFormat/>
    <w:locked/>
    <w:rsid w:val="001d2c1a"/>
    <w:rPr>
      <w:rFonts w:ascii="Arial" w:hAnsi="Arial" w:eastAsia="Times New Roman"/>
      <w:b/>
      <w:lang w:val="en-GB" w:eastAsia="en-GB"/>
    </w:rPr>
  </w:style>
  <w:style w:type="character" w:styleId="TALCar" w:customStyle="1">
    <w:name w:val="TAL Car"/>
    <w:link w:val="TAL"/>
    <w:qFormat/>
    <w:locked/>
    <w:rsid w:val="001d2c1a"/>
    <w:rPr>
      <w:rFonts w:ascii="Arial" w:hAnsi="Arial" w:eastAsia="Times New Roman"/>
      <w:sz w:val="18"/>
      <w:lang w:val="en-GB" w:eastAsia="en-GB"/>
    </w:rPr>
  </w:style>
  <w:style w:type="character" w:styleId="Heading7Char" w:customStyle="1">
    <w:name w:val="Heading 7 Char"/>
    <w:link w:val="Heading7"/>
    <w:qFormat/>
    <w:rsid w:val="001d2c1a"/>
    <w:rPr>
      <w:rFonts w:ascii="Arial" w:hAnsi="Arial" w:eastAsia="Times New Roman"/>
      <w:lang w:val="en-GB" w:eastAsia="en-GB"/>
    </w:rPr>
  </w:style>
  <w:style w:type="character" w:styleId="Heading6Char" w:customStyle="1">
    <w:name w:val="Heading 6 Char"/>
    <w:basedOn w:val="DefaultParagraphFont"/>
    <w:link w:val="Heading6"/>
    <w:qFormat/>
    <w:rsid w:val="003a4b47"/>
    <w:rPr>
      <w:rFonts w:ascii="Arial" w:hAnsi="Arial" w:eastAsia="Times New Roman"/>
      <w:lang w:val="en-GB" w:eastAsia="en-GB"/>
    </w:rPr>
  </w:style>
  <w:style w:type="character" w:styleId="Emphasis">
    <w:name w:val="Emphasis"/>
    <w:basedOn w:val="DefaultParagraphFont"/>
    <w:qFormat/>
    <w:rsid w:val="00a86ab5"/>
    <w:rPr>
      <w:i/>
      <w:iCs/>
    </w:rPr>
  </w:style>
  <w:style w:type="character" w:styleId="Heading4Char" w:customStyle="1">
    <w:name w:val="Heading 4 Char"/>
    <w:link w:val="Heading4"/>
    <w:qFormat/>
    <w:rsid w:val="00507801"/>
    <w:rPr>
      <w:rFonts w:ascii="Arial" w:hAnsi="Arial" w:eastAsia="Times New Roman"/>
      <w:sz w:val="24"/>
      <w:lang w:val="en-GB" w:eastAsia="en-GB"/>
    </w:rPr>
  </w:style>
  <w:style w:type="character" w:styleId="Heading2Char" w:customStyle="1">
    <w:name w:val="Heading 2 Char"/>
    <w:link w:val="Heading2"/>
    <w:qFormat/>
    <w:rsid w:val="00af348e"/>
    <w:rPr>
      <w:rFonts w:ascii="Arial" w:hAnsi="Arial" w:eastAsia="Times New Roman"/>
      <w:sz w:val="32"/>
      <w:lang w:val="en-GB" w:eastAsia="en-GB"/>
    </w:rPr>
  </w:style>
  <w:style w:type="character" w:styleId="Bullets" w:customStyle="1">
    <w:name w:val="Bullets"/>
    <w:qFormat/>
    <w:rPr>
      <w:rFonts w:ascii="OpenSymbol" w:hAnsi="OpenSymbol" w:eastAsia="OpenSymbol" w:cs="OpenSymbol"/>
    </w:rPr>
  </w:style>
  <w:style w:type="character" w:styleId="UnresolvedMention">
    <w:name w:val="Unresolved Mention"/>
    <w:basedOn w:val="DefaultParagraphFont"/>
    <w:uiPriority w:val="99"/>
    <w:semiHidden/>
    <w:unhideWhenUsed/>
    <w:qFormat/>
    <w:rsid w:val="00a57379"/>
    <w:rPr>
      <w:color w:val="605E5C"/>
      <w:shd w:fill="E1DFDD" w:val="clear"/>
    </w:rPr>
  </w:style>
  <w:style w:type="paragraph" w:styleId="Heading" w:customStyle="1">
    <w:name w:val="Heading"/>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BodyTextChar"/>
    <w:rsid w:val="001d2c1a"/>
    <w:pPr>
      <w:overflowPunct w:val="true"/>
      <w:spacing w:before="0" w:after="120"/>
      <w:textAlignment w:val="auto"/>
    </w:pPr>
    <w:rPr>
      <w:rFonts w:eastAsia="MS Gothic"/>
      <w:sz w:val="24"/>
      <w:lang w:eastAsia="ja-JP"/>
    </w:rPr>
  </w:style>
  <w:style w:type="paragraph" w:styleId="List">
    <w:name w:val="List"/>
    <w:basedOn w:val="Normal"/>
    <w:rsid w:val="00231ed4"/>
    <w:pPr>
      <w:ind w:hanging="284" w:left="568"/>
    </w:pPr>
    <w:rPr/>
  </w:style>
  <w:style w:type="paragraph" w:styleId="Caption">
    <w:name w:val="Caption"/>
    <w:basedOn w:val="Normal"/>
    <w:next w:val="Normal"/>
    <w:uiPriority w:val="35"/>
    <w:qFormat/>
    <w:rsid w:val="001d2c1a"/>
    <w:pPr>
      <w:overflowPunct w:val="true"/>
      <w:spacing w:before="120" w:after="120"/>
      <w:textAlignment w:val="auto"/>
    </w:pPr>
    <w:rPr>
      <w:rFonts w:eastAsia="MS Gothic"/>
      <w:b/>
      <w:sz w:val="24"/>
      <w:lang w:eastAsia="ja-JP"/>
    </w:rPr>
  </w:style>
  <w:style w:type="paragraph" w:styleId="Index" w:customStyle="1">
    <w:name w:val="Index"/>
    <w:basedOn w:val="Normal"/>
    <w:qFormat/>
    <w:pPr>
      <w:suppressLineNumbers/>
    </w:pPr>
    <w:rPr>
      <w:rFonts w:cs="Arial Unicode MS"/>
    </w:rPr>
  </w:style>
  <w:style w:type="paragraph" w:styleId="FP" w:customStyle="1">
    <w:name w:val="FP"/>
    <w:basedOn w:val="Normal"/>
    <w:qFormat/>
    <w:rsid w:val="00231ed4"/>
    <w:pPr>
      <w:spacing w:before="0" w:after="0"/>
    </w:pPr>
    <w:rPr/>
  </w:style>
  <w:style w:type="paragraph" w:styleId="TOC8">
    <w:name w:val="TOC 8"/>
    <w:basedOn w:val="TOC1"/>
    <w:rsid w:val="00231ed4"/>
    <w:pPr>
      <w:spacing w:before="180" w:after="180"/>
      <w:ind w:hanging="2693" w:left="2693"/>
    </w:pPr>
    <w:rPr>
      <w:b/>
    </w:rPr>
  </w:style>
  <w:style w:type="paragraph" w:styleId="TOC1">
    <w:name w:val="TOC 1"/>
    <w:semiHidden/>
    <w:rsid w:val="00231ed4"/>
    <w:pPr>
      <w:keepNext w:val="true"/>
      <w:keepLines/>
      <w:widowControl w:val="false"/>
      <w:tabs>
        <w:tab w:val="clear" w:pos="567"/>
        <w:tab w:val="right" w:pos="9639" w:leader="dot"/>
      </w:tabs>
      <w:suppressAutoHyphens w:val="true"/>
      <w:bidi w:val="0"/>
      <w:spacing w:lineRule="auto" w:line="276" w:before="120" w:after="200"/>
      <w:ind w:hanging="567" w:left="567" w:right="425"/>
      <w:jc w:val="left"/>
      <w:textAlignment w:val="baseline"/>
    </w:pPr>
    <w:rPr>
      <w:rFonts w:eastAsia="Times New Roman" w:ascii="Times New Roman" w:hAnsi="Times New Roman" w:cs="Times New Roman"/>
      <w:color w:val="auto"/>
      <w:kern w:val="0"/>
      <w:sz w:val="22"/>
      <w:szCs w:val="20"/>
      <w:lang w:val="en-GB" w:eastAsia="en-GB" w:bidi="ar-SA"/>
    </w:rPr>
  </w:style>
  <w:style w:type="paragraph" w:styleId="ZT" w:customStyle="1">
    <w:name w:val="ZT"/>
    <w:qFormat/>
    <w:rsid w:val="00231ed4"/>
    <w:pPr>
      <w:widowControl w:val="false"/>
      <w:suppressAutoHyphens w:val="true"/>
      <w:bidi w:val="0"/>
      <w:spacing w:lineRule="atLeast" w:line="240" w:before="0" w:after="200"/>
      <w:jc w:val="right"/>
      <w:textAlignment w:val="baseline"/>
    </w:pPr>
    <w:rPr>
      <w:rFonts w:ascii="Arial" w:hAnsi="Arial" w:eastAsia="Times New Roman" w:cs="Times New Roman"/>
      <w:b/>
      <w:color w:val="auto"/>
      <w:kern w:val="0"/>
      <w:sz w:val="34"/>
      <w:szCs w:val="20"/>
      <w:lang w:val="en-GB" w:eastAsia="en-GB" w:bidi="ar-SA"/>
    </w:rPr>
  </w:style>
  <w:style w:type="paragraph" w:styleId="TOC5">
    <w:name w:val="TOC 5"/>
    <w:basedOn w:val="TOC4"/>
    <w:rsid w:val="00231ed4"/>
    <w:pPr>
      <w:ind w:hanging="1701" w:left="1701"/>
    </w:pPr>
    <w:rPr/>
  </w:style>
  <w:style w:type="paragraph" w:styleId="TOC4">
    <w:name w:val="TOC 4"/>
    <w:basedOn w:val="TOC3"/>
    <w:rsid w:val="00231ed4"/>
    <w:pPr>
      <w:ind w:hanging="1418" w:left="1418"/>
    </w:pPr>
    <w:rPr/>
  </w:style>
  <w:style w:type="paragraph" w:styleId="TOC3">
    <w:name w:val="TOC 3"/>
    <w:basedOn w:val="TOC2"/>
    <w:rsid w:val="00231ed4"/>
    <w:pPr>
      <w:ind w:hanging="1134" w:left="1134"/>
    </w:pPr>
    <w:rPr/>
  </w:style>
  <w:style w:type="paragraph" w:styleId="TOC2">
    <w:name w:val="TOC 2"/>
    <w:basedOn w:val="TOC1"/>
    <w:rsid w:val="00231ed4"/>
    <w:pPr>
      <w:keepNext w:val="false"/>
      <w:spacing w:before="0" w:after="200"/>
      <w:ind w:hanging="851" w:left="851"/>
    </w:pPr>
    <w:rPr>
      <w:sz w:val="20"/>
    </w:rPr>
  </w:style>
  <w:style w:type="paragraph" w:styleId="Index2">
    <w:name w:val="Index 2"/>
    <w:basedOn w:val="Index1"/>
    <w:rsid w:val="00231ed4"/>
    <w:pPr>
      <w:ind w:left="284"/>
    </w:pPr>
    <w:rPr/>
  </w:style>
  <w:style w:type="paragraph" w:styleId="Index1">
    <w:name w:val="Index 1"/>
    <w:basedOn w:val="Normal"/>
    <w:rsid w:val="00231ed4"/>
    <w:pPr>
      <w:keepLines/>
      <w:spacing w:before="0" w:after="0"/>
    </w:pPr>
    <w:rPr/>
  </w:style>
  <w:style w:type="paragraph" w:styleId="ZH" w:customStyle="1">
    <w:name w:val="ZH"/>
    <w:qFormat/>
    <w:rsid w:val="00231ed4"/>
    <w:pPr>
      <w:widowControl w:val="false"/>
      <w:suppressAutoHyphens w:val="true"/>
      <w:bidi w:val="0"/>
      <w:spacing w:lineRule="auto" w:line="276" w:before="0" w:after="20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Heading1"/>
    <w:next w:val="Normal"/>
    <w:qFormat/>
    <w:rsid w:val="00231ed4"/>
    <w:pPr>
      <w:outlineLvl w:val="9"/>
    </w:pPr>
    <w:rPr/>
  </w:style>
  <w:style w:type="paragraph" w:styleId="ListNumber2">
    <w:name w:val="List Number 2"/>
    <w:basedOn w:val="ListNumber"/>
    <w:rsid w:val="00231ed4"/>
    <w:pPr>
      <w:ind w:left="851"/>
    </w:pPr>
    <w:rPr/>
  </w:style>
  <w:style w:type="paragraph" w:styleId="ListNumber">
    <w:name w:val="List Number"/>
    <w:basedOn w:val="List"/>
    <w:rsid w:val="00231ed4"/>
    <w:pPr/>
    <w:rPr/>
  </w:style>
  <w:style w:type="paragraph" w:styleId="HeaderandFooter" w:customStyle="1">
    <w:name w:val="Header and Footer"/>
    <w:basedOn w:val="Normal"/>
    <w:qFormat/>
    <w:pPr/>
    <w:rPr/>
  </w:style>
  <w:style w:type="paragraph" w:styleId="Header">
    <w:name w:val="Header"/>
    <w:link w:val="HeaderChar"/>
    <w:rsid w:val="00231ed4"/>
    <w:pPr>
      <w:widowControl w:val="false"/>
      <w:suppressAutoHyphens w:val="true"/>
      <w:bidi w:val="0"/>
      <w:spacing w:lineRule="auto" w:line="276" w:before="0" w:after="200"/>
      <w:jc w:val="left"/>
      <w:textAlignment w:val="baseline"/>
    </w:pPr>
    <w:rPr>
      <w:rFonts w:ascii="Arial" w:hAnsi="Arial" w:eastAsia="Times New Roman" w:cs="Times New Roman"/>
      <w:b/>
      <w:color w:val="auto"/>
      <w:kern w:val="0"/>
      <w:sz w:val="18"/>
      <w:szCs w:val="20"/>
      <w:lang w:val="en-GB" w:eastAsia="en-GB" w:bidi="ar-SA"/>
    </w:rPr>
  </w:style>
  <w:style w:type="paragraph" w:styleId="FootnoteText">
    <w:name w:val="Footnote Text"/>
    <w:basedOn w:val="Normal"/>
    <w:semiHidden/>
    <w:rsid w:val="00231ed4"/>
    <w:pPr>
      <w:keepLines/>
      <w:spacing w:before="0" w:after="0"/>
      <w:ind w:hanging="454" w:left="454"/>
    </w:pPr>
    <w:rPr>
      <w:sz w:val="16"/>
    </w:rPr>
  </w:style>
  <w:style w:type="paragraph" w:styleId="TAH" w:customStyle="1">
    <w:name w:val="TAH"/>
    <w:basedOn w:val="TAC"/>
    <w:link w:val="TAHCar"/>
    <w:qFormat/>
    <w:rsid w:val="00231ed4"/>
    <w:pPr/>
    <w:rPr>
      <w:b/>
    </w:rPr>
  </w:style>
  <w:style w:type="paragraph" w:styleId="TAC" w:customStyle="1">
    <w:name w:val="TAC"/>
    <w:basedOn w:val="TAL"/>
    <w:link w:val="TACChar"/>
    <w:qFormat/>
    <w:rsid w:val="00231ed4"/>
    <w:pPr>
      <w:jc w:val="center"/>
    </w:pPr>
    <w:rPr/>
  </w:style>
  <w:style w:type="paragraph" w:styleId="TF" w:customStyle="1">
    <w:name w:val="TF"/>
    <w:basedOn w:val="TH"/>
    <w:qFormat/>
    <w:rsid w:val="00231ed4"/>
    <w:pPr>
      <w:keepNext w:val="false"/>
      <w:spacing w:before="0" w:after="240"/>
    </w:pPr>
    <w:rPr/>
  </w:style>
  <w:style w:type="paragraph" w:styleId="NO" w:customStyle="1">
    <w:name w:val="NO"/>
    <w:basedOn w:val="Normal"/>
    <w:qFormat/>
    <w:rsid w:val="00231ed4"/>
    <w:pPr>
      <w:keepLines/>
      <w:ind w:hanging="851" w:left="1135"/>
    </w:pPr>
    <w:rPr/>
  </w:style>
  <w:style w:type="paragraph" w:styleId="TOC9">
    <w:name w:val="TOC 9"/>
    <w:basedOn w:val="TOC8"/>
    <w:rsid w:val="00231ed4"/>
    <w:pPr>
      <w:ind w:hanging="1418" w:left="1418"/>
    </w:pPr>
    <w:rPr/>
  </w:style>
  <w:style w:type="paragraph" w:styleId="EX" w:customStyle="1">
    <w:name w:val="EX"/>
    <w:basedOn w:val="Normal"/>
    <w:qFormat/>
    <w:rsid w:val="00231ed4"/>
    <w:pPr>
      <w:keepLines/>
      <w:ind w:hanging="1418" w:left="1702"/>
    </w:pPr>
    <w:rPr/>
  </w:style>
  <w:style w:type="paragraph" w:styleId="LD" w:customStyle="1">
    <w:name w:val="LD"/>
    <w:qFormat/>
    <w:rsid w:val="00231ed4"/>
    <w:pPr>
      <w:keepNext w:val="true"/>
      <w:keepLines/>
      <w:widowControl/>
      <w:suppressAutoHyphens w:val="true"/>
      <w:bidi w:val="0"/>
      <w:spacing w:lineRule="exact" w:line="180" w:before="0" w:after="20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231ed4"/>
    <w:pPr>
      <w:spacing w:before="0" w:after="0"/>
    </w:pPr>
    <w:rPr/>
  </w:style>
  <w:style w:type="paragraph" w:styleId="EW" w:customStyle="1">
    <w:name w:val="EW"/>
    <w:basedOn w:val="EX"/>
    <w:qFormat/>
    <w:rsid w:val="00231ed4"/>
    <w:pPr>
      <w:spacing w:before="0" w:after="0"/>
    </w:pPr>
    <w:rPr/>
  </w:style>
  <w:style w:type="paragraph" w:styleId="TOC6">
    <w:name w:val="TOC 6"/>
    <w:basedOn w:val="TOC5"/>
    <w:next w:val="Normal"/>
    <w:rsid w:val="00231ed4"/>
    <w:pPr>
      <w:ind w:hanging="1985" w:left="1985"/>
    </w:pPr>
    <w:rPr/>
  </w:style>
  <w:style w:type="paragraph" w:styleId="TOC7">
    <w:name w:val="TOC 7"/>
    <w:basedOn w:val="TOC6"/>
    <w:next w:val="Normal"/>
    <w:rsid w:val="00231ed4"/>
    <w:pPr>
      <w:ind w:hanging="2268" w:left="2268"/>
    </w:pPr>
    <w:rPr/>
  </w:style>
  <w:style w:type="paragraph" w:styleId="ListBullet2">
    <w:name w:val="List Bullet 2"/>
    <w:basedOn w:val="ListBullet"/>
    <w:rsid w:val="00231ed4"/>
    <w:pPr>
      <w:ind w:left="851"/>
    </w:pPr>
    <w:rPr/>
  </w:style>
  <w:style w:type="paragraph" w:styleId="ListBullet">
    <w:name w:val="List Bullet"/>
    <w:basedOn w:val="List"/>
    <w:rsid w:val="00231ed4"/>
    <w:pPr/>
    <w:rPr/>
  </w:style>
  <w:style w:type="paragraph" w:styleId="ListBullet3">
    <w:name w:val="List Bullet 3"/>
    <w:basedOn w:val="ListBullet2"/>
    <w:rsid w:val="00231ed4"/>
    <w:pPr>
      <w:ind w:left="1135"/>
    </w:pPr>
    <w:rPr/>
  </w:style>
  <w:style w:type="paragraph" w:styleId="EQ" w:customStyle="1">
    <w:name w:val="EQ"/>
    <w:basedOn w:val="Normal"/>
    <w:next w:val="Normal"/>
    <w:qFormat/>
    <w:rsid w:val="00231ed4"/>
    <w:pPr>
      <w:keepLines/>
      <w:tabs>
        <w:tab w:val="clear" w:pos="567"/>
        <w:tab w:val="center" w:pos="4536" w:leader="none"/>
        <w:tab w:val="right" w:pos="9072" w:leader="none"/>
      </w:tabs>
    </w:pPr>
    <w:rPr/>
  </w:style>
  <w:style w:type="paragraph" w:styleId="TH" w:customStyle="1">
    <w:name w:val="TH"/>
    <w:basedOn w:val="Normal"/>
    <w:link w:val="THChar"/>
    <w:qFormat/>
    <w:rsid w:val="00231ed4"/>
    <w:pPr>
      <w:keepNext w:val="true"/>
      <w:keepLines/>
      <w:spacing w:before="60" w:after="180"/>
      <w:jc w:val="center"/>
    </w:pPr>
    <w:rPr>
      <w:rFonts w:ascii="Arial" w:hAnsi="Arial"/>
      <w:b/>
    </w:rPr>
  </w:style>
  <w:style w:type="paragraph" w:styleId="NF" w:customStyle="1">
    <w:name w:val="NF"/>
    <w:basedOn w:val="NO"/>
    <w:qFormat/>
    <w:rsid w:val="00231ed4"/>
    <w:pPr>
      <w:keepNext w:val="true"/>
      <w:spacing w:before="0" w:after="0"/>
    </w:pPr>
    <w:rPr>
      <w:rFonts w:ascii="Arial" w:hAnsi="Arial"/>
      <w:sz w:val="18"/>
    </w:rPr>
  </w:style>
  <w:style w:type="paragraph" w:styleId="PL" w:customStyle="1">
    <w:name w:val="PL"/>
    <w:qFormat/>
    <w:rsid w:val="00231ed4"/>
    <w:pPr>
      <w:widowControl/>
      <w:tabs>
        <w:tab w:val="clear" w:pos="567"/>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lineRule="auto" w:line="276" w:before="0" w:after="20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231ed4"/>
    <w:pPr>
      <w:jc w:val="right"/>
    </w:pPr>
    <w:rPr/>
  </w:style>
  <w:style w:type="paragraph" w:styleId="H6" w:customStyle="1">
    <w:name w:val="H6"/>
    <w:basedOn w:val="Heading5"/>
    <w:next w:val="Normal"/>
    <w:qFormat/>
    <w:rsid w:val="00231ed4"/>
    <w:pPr>
      <w:ind w:hanging="1985" w:left="1985"/>
      <w:outlineLvl w:val="9"/>
    </w:pPr>
    <w:rPr>
      <w:sz w:val="20"/>
    </w:rPr>
  </w:style>
  <w:style w:type="paragraph" w:styleId="TAN" w:customStyle="1">
    <w:name w:val="TAN"/>
    <w:basedOn w:val="TAL"/>
    <w:link w:val="TANChar"/>
    <w:qFormat/>
    <w:rsid w:val="00231ed4"/>
    <w:pPr>
      <w:ind w:hanging="851" w:left="851"/>
    </w:pPr>
    <w:rPr/>
  </w:style>
  <w:style w:type="paragraph" w:styleId="TAL" w:customStyle="1">
    <w:name w:val="TAL"/>
    <w:basedOn w:val="Normal"/>
    <w:link w:val="TALCar"/>
    <w:qFormat/>
    <w:rsid w:val="00231ed4"/>
    <w:pPr>
      <w:keepNext w:val="true"/>
      <w:keepLines/>
      <w:spacing w:before="0" w:after="0"/>
    </w:pPr>
    <w:rPr>
      <w:rFonts w:ascii="Arial" w:hAnsi="Arial"/>
      <w:sz w:val="18"/>
    </w:rPr>
  </w:style>
  <w:style w:type="paragraph" w:styleId="ZA" w:customStyle="1">
    <w:name w:val="ZA"/>
    <w:qFormat/>
    <w:rsid w:val="00231ed4"/>
    <w:pPr>
      <w:widowControl w:val="false"/>
      <w:pBdr>
        <w:bottom w:val="single" w:sz="12" w:space="1" w:color="000000"/>
      </w:pBdr>
      <w:suppressAutoHyphens w:val="true"/>
      <w:bidi w:val="0"/>
      <w:spacing w:lineRule="auto" w:line="276" w:before="0" w:after="20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231ed4"/>
    <w:pPr>
      <w:widowControl w:val="false"/>
      <w:suppressAutoHyphens w:val="true"/>
      <w:bidi w:val="0"/>
      <w:spacing w:lineRule="auto" w:line="276" w:before="0" w:after="200"/>
      <w:ind w:right="28"/>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231ed4"/>
    <w:pPr>
      <w:widowControl w:val="false"/>
      <w:suppressAutoHyphens w:val="true"/>
      <w:bidi w:val="0"/>
      <w:spacing w:lineRule="auto" w:line="276" w:before="0" w:after="20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231ed4"/>
    <w:pPr>
      <w:widowControl w:val="false"/>
      <w:pBdr>
        <w:top w:val="single" w:sz="12" w:space="1" w:color="000000"/>
      </w:pBdr>
      <w:suppressAutoHyphens w:val="true"/>
      <w:bidi w:val="0"/>
      <w:spacing w:lineRule="auto" w:line="276" w:before="0" w:after="20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231ed4"/>
    <w:pPr/>
    <w:rPr/>
  </w:style>
  <w:style w:type="paragraph" w:styleId="List2">
    <w:name w:val="List 2"/>
    <w:basedOn w:val="List"/>
    <w:qFormat/>
    <w:rsid w:val="00231ed4"/>
    <w:pPr>
      <w:ind w:left="851"/>
    </w:pPr>
    <w:rPr/>
  </w:style>
  <w:style w:type="paragraph" w:styleId="ZG" w:customStyle="1">
    <w:name w:val="ZG"/>
    <w:qFormat/>
    <w:rsid w:val="00231ed4"/>
    <w:pPr>
      <w:widowControl w:val="false"/>
      <w:suppressAutoHyphens w:val="true"/>
      <w:bidi w:val="0"/>
      <w:spacing w:lineRule="auto" w:line="276" w:before="0" w:after="200"/>
      <w:jc w:val="right"/>
      <w:textAlignment w:val="baseline"/>
    </w:pPr>
    <w:rPr>
      <w:rFonts w:ascii="Arial" w:hAnsi="Arial" w:eastAsia="Times New Roman" w:cs="Times New Roman"/>
      <w:color w:val="auto"/>
      <w:kern w:val="0"/>
      <w:sz w:val="20"/>
      <w:szCs w:val="20"/>
      <w:lang w:val="en-GB" w:eastAsia="en-GB" w:bidi="ar-SA"/>
    </w:rPr>
  </w:style>
  <w:style w:type="paragraph" w:styleId="List3">
    <w:name w:val="List 3"/>
    <w:basedOn w:val="List2"/>
    <w:qFormat/>
    <w:rsid w:val="00231ed4"/>
    <w:pPr>
      <w:ind w:left="1135"/>
    </w:pPr>
    <w:rPr/>
  </w:style>
  <w:style w:type="paragraph" w:styleId="List4">
    <w:name w:val="List 4"/>
    <w:basedOn w:val="List3"/>
    <w:qFormat/>
    <w:rsid w:val="00231ed4"/>
    <w:pPr>
      <w:ind w:left="1418"/>
    </w:pPr>
    <w:rPr/>
  </w:style>
  <w:style w:type="paragraph" w:styleId="List5">
    <w:name w:val="List 5"/>
    <w:basedOn w:val="List4"/>
    <w:qFormat/>
    <w:rsid w:val="00231ed4"/>
    <w:pPr>
      <w:ind w:left="1702"/>
    </w:pPr>
    <w:rPr/>
  </w:style>
  <w:style w:type="paragraph" w:styleId="EditorsNote" w:customStyle="1">
    <w:name w:val="Editor's Note"/>
    <w:basedOn w:val="NO"/>
    <w:qFormat/>
    <w:rsid w:val="00231ed4"/>
    <w:pPr/>
    <w:rPr>
      <w:color w:val="FF0000"/>
    </w:rPr>
  </w:style>
  <w:style w:type="paragraph" w:styleId="ListBullet4">
    <w:name w:val="List Bullet 4"/>
    <w:basedOn w:val="ListBullet3"/>
    <w:rsid w:val="00231ed4"/>
    <w:pPr>
      <w:ind w:left="1418"/>
    </w:pPr>
    <w:rPr/>
  </w:style>
  <w:style w:type="paragraph" w:styleId="ListBullet5">
    <w:name w:val="List Bullet 5"/>
    <w:basedOn w:val="ListBullet4"/>
    <w:rsid w:val="00231ed4"/>
    <w:pPr>
      <w:ind w:left="1702"/>
    </w:pPr>
    <w:rPr/>
  </w:style>
  <w:style w:type="paragraph" w:styleId="B1" w:customStyle="1">
    <w:name w:val="B1"/>
    <w:basedOn w:val="List"/>
    <w:link w:val="B1Char1"/>
    <w:qFormat/>
    <w:rsid w:val="00231ed4"/>
    <w:pPr/>
    <w:rPr/>
  </w:style>
  <w:style w:type="paragraph" w:styleId="B2" w:customStyle="1">
    <w:name w:val="B2"/>
    <w:basedOn w:val="List2"/>
    <w:qFormat/>
    <w:rsid w:val="00231ed4"/>
    <w:pPr/>
    <w:rPr/>
  </w:style>
  <w:style w:type="paragraph" w:styleId="B3" w:customStyle="1">
    <w:name w:val="B3"/>
    <w:basedOn w:val="List3"/>
    <w:qFormat/>
    <w:rsid w:val="00231ed4"/>
    <w:pPr/>
    <w:rPr/>
  </w:style>
  <w:style w:type="paragraph" w:styleId="B4" w:customStyle="1">
    <w:name w:val="B4"/>
    <w:basedOn w:val="List4"/>
    <w:qFormat/>
    <w:rsid w:val="00231ed4"/>
    <w:pPr/>
    <w:rPr/>
  </w:style>
  <w:style w:type="paragraph" w:styleId="B5" w:customStyle="1">
    <w:name w:val="B5"/>
    <w:basedOn w:val="List5"/>
    <w:qFormat/>
    <w:rsid w:val="00231ed4"/>
    <w:pPr/>
    <w:rPr/>
  </w:style>
  <w:style w:type="paragraph" w:styleId="Footer">
    <w:name w:val="Footer"/>
    <w:basedOn w:val="Header"/>
    <w:link w:val="FooterChar"/>
    <w:rsid w:val="00231ed4"/>
    <w:pPr>
      <w:jc w:val="center"/>
    </w:pPr>
    <w:rPr>
      <w:i/>
    </w:rPr>
  </w:style>
  <w:style w:type="paragraph" w:styleId="ZTD" w:customStyle="1">
    <w:name w:val="ZTD"/>
    <w:basedOn w:val="ZB"/>
    <w:qFormat/>
    <w:rsid w:val="00231ed4"/>
    <w:pPr/>
    <w:rPr>
      <w:i w:val="false"/>
      <w:sz w:val="40"/>
    </w:rPr>
  </w:style>
  <w:style w:type="paragraph" w:styleId="Heading1unnumbered" w:customStyle="1">
    <w:name w:val="Heading 1 unnumbered"/>
    <w:basedOn w:val="Heading1"/>
    <w:next w:val="BodyText"/>
    <w:qFormat/>
    <w:rsid w:val="001d2c1a"/>
    <w:pPr>
      <w:keepLines w:val="false"/>
      <w:pBdr>
        <w:top w:val="nil"/>
      </w:pBdr>
      <w:tabs>
        <w:tab w:val="clear" w:pos="567"/>
        <w:tab w:val="left" w:pos="0" w:leader="none"/>
        <w:tab w:val="left" w:pos="360" w:leader="none"/>
      </w:tabs>
      <w:overflowPunct w:val="true"/>
      <w:spacing w:before="360" w:after="240"/>
      <w:ind w:hanging="360" w:left="360"/>
      <w:textAlignment w:val="auto"/>
      <w:outlineLvl w:val="9"/>
    </w:pPr>
    <w:rPr>
      <w:rFonts w:ascii="Times New Roman" w:hAnsi="Times New Roman" w:eastAsia="MS Gothic"/>
      <w:kern w:val="2"/>
      <w:sz w:val="32"/>
      <w:lang w:eastAsia="ja-JP"/>
    </w:rPr>
  </w:style>
  <w:style w:type="paragraph" w:styleId="BodyTextIndent">
    <w:name w:val="Body Text Indent"/>
    <w:basedOn w:val="Normal"/>
    <w:link w:val="BodyTextIndentChar"/>
    <w:rsid w:val="001d2c1a"/>
    <w:pPr>
      <w:overflowPunct w:val="true"/>
      <w:spacing w:before="0" w:after="0"/>
      <w:ind w:left="360"/>
      <w:textAlignment w:val="auto"/>
    </w:pPr>
    <w:rPr>
      <w:rFonts w:eastAsia="MS Gothic"/>
      <w:sz w:val="24"/>
      <w:lang w:eastAsia="ja-JP"/>
    </w:rPr>
  </w:style>
  <w:style w:type="paragraph" w:styleId="DocumentMap">
    <w:name w:val="Document Map"/>
    <w:basedOn w:val="Normal"/>
    <w:link w:val="DocumentMapChar"/>
    <w:qFormat/>
    <w:rsid w:val="001d2c1a"/>
    <w:pPr>
      <w:shd w:val="clear" w:color="auto" w:fill="000080"/>
      <w:overflowPunct w:val="true"/>
      <w:spacing w:before="0" w:after="0"/>
      <w:textAlignment w:val="auto"/>
    </w:pPr>
    <w:rPr>
      <w:rFonts w:ascii="Tahoma" w:hAnsi="Tahoma" w:eastAsia="MS Gothic"/>
      <w:sz w:val="24"/>
      <w:lang w:eastAsia="ja-JP"/>
    </w:rPr>
  </w:style>
  <w:style w:type="paragraph" w:styleId="PlainText">
    <w:name w:val="Plain Text"/>
    <w:basedOn w:val="Normal"/>
    <w:link w:val="PlainTextChar"/>
    <w:qFormat/>
    <w:rsid w:val="001d2c1a"/>
    <w:pPr>
      <w:overflowPunct w:val="true"/>
      <w:spacing w:before="0" w:after="0"/>
      <w:textAlignment w:val="auto"/>
    </w:pPr>
    <w:rPr>
      <w:rFonts w:ascii="Courier New" w:hAnsi="Courier New" w:eastAsia="MS Gothic"/>
      <w:sz w:val="24"/>
      <w:lang w:eastAsia="ja-JP"/>
    </w:rPr>
  </w:style>
  <w:style w:type="paragraph" w:styleId="lptext" w:customStyle="1">
    <w:name w:val="lˆptext"/>
    <w:basedOn w:val="Normal"/>
    <w:qFormat/>
    <w:rsid w:val="001d2c1a"/>
    <w:pPr>
      <w:overflowPunct w:val="true"/>
      <w:spacing w:before="100" w:after="100"/>
      <w:ind w:left="860"/>
      <w:textAlignment w:val="auto"/>
    </w:pPr>
    <w:rPr>
      <w:rFonts w:ascii="Times" w:hAnsi="Times" w:eastAsia="MS Gothic"/>
      <w:sz w:val="24"/>
      <w:lang w:eastAsia="ja-JP"/>
    </w:rPr>
  </w:style>
  <w:style w:type="paragraph" w:styleId="Style6" w:customStyle="1">
    <w:name w:val="佐藤２"/>
    <w:basedOn w:val="Normal"/>
    <w:qFormat/>
    <w:rsid w:val="001d2c1a"/>
    <w:pPr>
      <w:numPr>
        <w:ilvl w:val="0"/>
        <w:numId w:val="2"/>
      </w:numPr>
      <w:overflowPunct w:val="true"/>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false"/>
      <w:overflowPunct w:val="true"/>
      <w:spacing w:before="0" w:after="0"/>
      <w:ind w:left="1656"/>
      <w:jc w:val="both"/>
    </w:pPr>
    <w:rPr>
      <w:rFonts w:eastAsia="MS Gothic"/>
      <w:kern w:val="2"/>
      <w:sz w:val="24"/>
      <w:lang w:eastAsia="ja-JP"/>
    </w:rPr>
  </w:style>
  <w:style w:type="paragraph" w:styleId="ListBulletLast" w:customStyle="1">
    <w:name w:val="List Bullet Last"/>
    <w:basedOn w:val="ListBullet"/>
    <w:next w:val="BodyText"/>
    <w:qFormat/>
    <w:rsid w:val="001d2c1a"/>
    <w:pPr>
      <w:overflowPunct w:val="true"/>
      <w:spacing w:before="0" w:after="240"/>
      <w:ind w:hanging="357" w:left="714"/>
      <w:textAlignment w:val="auto"/>
    </w:pPr>
    <w:rPr>
      <w:rFonts w:ascii="Arial" w:hAnsi="Arial" w:eastAsia="MS Gothic"/>
      <w:sz w:val="24"/>
      <w:lang w:eastAsia="ja-JP"/>
    </w:rPr>
  </w:style>
  <w:style w:type="paragraph" w:styleId="TitleText" w:customStyle="1">
    <w:name w:val="Title Text"/>
    <w:basedOn w:val="Normal"/>
    <w:next w:val="Normal"/>
    <w:qFormat/>
    <w:rsid w:val="001d2c1a"/>
    <w:pPr>
      <w:overflowPunct w:val="true"/>
      <w:spacing w:before="0" w:after="220"/>
      <w:textAlignment w:val="auto"/>
    </w:pPr>
    <w:rPr>
      <w:rFonts w:ascii="Arial" w:hAnsi="Arial" w:eastAsia="MS Gothic"/>
      <w:b/>
      <w:sz w:val="22"/>
      <w:lang w:eastAsia="ja-JP"/>
    </w:rPr>
  </w:style>
  <w:style w:type="paragraph" w:styleId="Title">
    <w:name w:val="Title"/>
    <w:basedOn w:val="Normal"/>
    <w:link w:val="TitleChar"/>
    <w:qFormat/>
    <w:rsid w:val="001d2c1a"/>
    <w:pPr>
      <w:overflowPunct w:val="true"/>
      <w:spacing w:before="0" w:after="0"/>
      <w:jc w:val="center"/>
      <w:textAlignment w:val="auto"/>
    </w:pPr>
    <w:rPr>
      <w:rFonts w:ascii="Arial" w:hAnsi="Arial" w:eastAsia="MS Gothic"/>
      <w:b/>
      <w:sz w:val="24"/>
      <w:lang w:eastAsia="ja-JP"/>
    </w:rPr>
  </w:style>
  <w:style w:type="paragraph" w:styleId="TableofFigures">
    <w:name w:val="Table of Figures"/>
    <w:basedOn w:val="TOC1"/>
    <w:next w:val="Normal"/>
    <w:rsid w:val="001d2c1a"/>
    <w:pPr>
      <w:keepNext w:val="false"/>
      <w:keepLines w:val="false"/>
      <w:widowControl/>
      <w:tabs>
        <w:tab w:val="clear" w:pos="9639"/>
        <w:tab w:val="right" w:pos="9360" w:leader="dot"/>
      </w:tabs>
      <w:overflowPunct w:val="true"/>
      <w:spacing w:before="120" w:after="120"/>
      <w:ind w:hanging="0" w:left="0" w:right="0"/>
      <w:textAlignment w:val="auto"/>
    </w:pPr>
    <w:rPr>
      <w:rFonts w:eastAsia="MS Gothic"/>
      <w:caps/>
      <w:sz w:val="24"/>
      <w:lang w:eastAsia="ja-JP"/>
    </w:rPr>
  </w:style>
  <w:style w:type="paragraph" w:styleId="BodyText3">
    <w:name w:val="Body Text 3"/>
    <w:basedOn w:val="Normal"/>
    <w:link w:val="BodyText3Char"/>
    <w:qFormat/>
    <w:rsid w:val="001d2c1a"/>
    <w:pPr>
      <w:overflowPunct w:val="true"/>
      <w:spacing w:before="0" w:after="0"/>
      <w:jc w:val="both"/>
      <w:textAlignment w:val="auto"/>
    </w:pPr>
    <w:rPr>
      <w:rFonts w:eastAsia="MS Gothic"/>
      <w:sz w:val="24"/>
      <w:lang w:eastAsia="ja-JP"/>
    </w:rPr>
  </w:style>
  <w:style w:type="paragraph" w:styleId="TableText" w:customStyle="1">
    <w:name w:val="Table_Text"/>
    <w:basedOn w:val="Normal"/>
    <w:qFormat/>
    <w:rsid w:val="001d2c1a"/>
    <w:pPr>
      <w:keepNext w:val="true"/>
      <w:tabs>
        <w:tab w:val="clear" w:pos="567"/>
        <w:tab w:val="left" w:pos="794" w:leader="none"/>
        <w:tab w:val="left" w:pos="1191" w:leader="none"/>
        <w:tab w:val="left" w:pos="1588" w:leader="none"/>
        <w:tab w:val="left" w:pos="1985" w:leader="none"/>
      </w:tabs>
      <w:overflowPunct w:val="true"/>
      <w:spacing w:lineRule="exact" w:line="190" w:before="100" w:after="100"/>
      <w:jc w:val="both"/>
      <w:textAlignment w:val="auto"/>
    </w:pPr>
    <w:rPr>
      <w:rFonts w:eastAsia="MS Gothic"/>
      <w:sz w:val="18"/>
      <w:lang w:eastAsia="ja-JP"/>
    </w:rPr>
  </w:style>
  <w:style w:type="paragraph" w:styleId="text" w:customStyle="1">
    <w:name w:val="text"/>
    <w:basedOn w:val="Normal"/>
    <w:qFormat/>
    <w:rsid w:val="001d2c1a"/>
    <w:pPr>
      <w:overflowPunct w:val="true"/>
      <w:spacing w:before="0" w:after="240"/>
      <w:jc w:val="both"/>
      <w:textAlignment w:val="auto"/>
    </w:pPr>
    <w:rPr>
      <w:rFonts w:eastAsia="MS Gothic"/>
      <w:sz w:val="24"/>
      <w:lang w:val="en-US" w:eastAsia="ja-JP"/>
    </w:rPr>
  </w:style>
  <w:style w:type="paragraph" w:styleId="textintend1" w:customStyle="1">
    <w:name w:val="text intend 1"/>
    <w:basedOn w:val="text"/>
    <w:qFormat/>
    <w:rsid w:val="001d2c1a"/>
    <w:pPr>
      <w:numPr>
        <w:ilvl w:val="0"/>
        <w:numId w:val="1"/>
      </w:numPr>
      <w:spacing w:before="0" w:after="120"/>
    </w:pPr>
    <w:rPr/>
  </w:style>
  <w:style w:type="paragraph" w:styleId="shortcode" w:customStyle="1">
    <w:name w:val="shortcode"/>
    <w:basedOn w:val="BodyText"/>
    <w:qFormat/>
    <w:rsid w:val="001d2c1a"/>
    <w:pPr>
      <w:keepNext w:val="true"/>
      <w:tabs>
        <w:tab w:val="clear" w:pos="567"/>
        <w:tab w:val="left" w:pos="1247" w:leader="none"/>
        <w:tab w:val="left" w:pos="2552" w:leader="none"/>
        <w:tab w:val="left" w:pos="3856" w:leader="none"/>
        <w:tab w:val="left" w:pos="5216" w:leader="none"/>
        <w:tab w:val="left" w:pos="6464" w:leader="none"/>
        <w:tab w:val="left" w:pos="7768" w:leader="none"/>
        <w:tab w:val="left" w:pos="9072" w:leader="none"/>
        <w:tab w:val="left" w:pos="10206" w:leader="none"/>
      </w:tabs>
      <w:overflowPunct w:val="false"/>
      <w:spacing w:lineRule="auto" w:line="480" w:before="0" w:after="0"/>
      <w:textAlignment w:val="baseline"/>
    </w:pPr>
    <w:rPr>
      <w:rFonts w:ascii="Times" w:hAnsi="Times" w:eastAsia="Mincho"/>
    </w:rPr>
  </w:style>
  <w:style w:type="paragraph" w:styleId="RecCCITT" w:customStyle="1">
    <w:name w:val="Rec_CCITT_#"/>
    <w:basedOn w:val="Normal"/>
    <w:qFormat/>
    <w:rsid w:val="001d2c1a"/>
    <w:pPr>
      <w:keepNext w:val="true"/>
      <w:keepLines/>
      <w:overflowPunct w:val="true"/>
      <w:textAlignment w:val="auto"/>
    </w:pPr>
    <w:rPr>
      <w:rFonts w:eastAsia="MS Gothic"/>
      <w:b/>
      <w:sz w:val="24"/>
      <w:lang w:eastAsia="ja-JP"/>
    </w:rPr>
  </w:style>
  <w:style w:type="paragraph" w:styleId="BalloonText">
    <w:name w:val="Balloon Text"/>
    <w:basedOn w:val="Normal"/>
    <w:link w:val="BalloonTextChar"/>
    <w:qFormat/>
    <w:rsid w:val="001d2c1a"/>
    <w:pPr>
      <w:overflowPunct w:val="true"/>
      <w:spacing w:before="0" w:after="0"/>
      <w:textAlignment w:val="auto"/>
    </w:pPr>
    <w:rPr>
      <w:rFonts w:ascii="Arial" w:hAnsi="Arial" w:eastAsia="MS Gothic"/>
      <w:sz w:val="18"/>
      <w:lang w:eastAsia="ja-JP"/>
    </w:rPr>
  </w:style>
  <w:style w:type="paragraph" w:styleId="Reference" w:customStyle="1">
    <w:name w:val="Reference"/>
    <w:basedOn w:val="Normal"/>
    <w:qFormat/>
    <w:rsid w:val="001d2c1a"/>
    <w:pPr>
      <w:widowControl w:val="false"/>
      <w:overflowPunct w:val="true"/>
      <w:spacing w:before="0" w:after="0"/>
      <w:ind w:hanging="283" w:left="283"/>
      <w:jc w:val="both"/>
      <w:textAlignment w:val="auto"/>
    </w:pPr>
    <w:rPr>
      <w:rFonts w:ascii="Arial" w:hAnsi="Arial"/>
      <w:kern w:val="2"/>
      <w:sz w:val="21"/>
      <w:lang w:val="de-DE" w:eastAsia="ja-JP"/>
    </w:rPr>
  </w:style>
  <w:style w:type="paragraph" w:styleId="AnnotationText">
    <w:name w:val="Annotation Text"/>
    <w:basedOn w:val="Normal"/>
    <w:link w:val="CommentTextChar"/>
    <w:rsid w:val="001d2c1a"/>
    <w:pPr>
      <w:overflowPunct w:val="true"/>
      <w:spacing w:before="0" w:after="0"/>
      <w:textAlignment w:val="auto"/>
    </w:pPr>
    <w:rPr>
      <w:rFonts w:eastAsia="MS Gothic"/>
      <w:lang w:eastAsia="ja-JP"/>
    </w:rPr>
  </w:style>
  <w:style w:type="paragraph" w:styleId="HTMLBody" w:customStyle="1">
    <w:name w:val="HTML Body"/>
    <w:qFormat/>
    <w:rsid w:val="001d2c1a"/>
    <w:pPr>
      <w:widowControl w:val="false"/>
      <w:suppressAutoHyphens w:val="true"/>
      <w:bidi w:val="0"/>
      <w:spacing w:lineRule="auto" w:line="276" w:before="0" w:after="200"/>
      <w:jc w:val="left"/>
    </w:pPr>
    <w:rPr>
      <w:rFonts w:ascii="MS PGothic" w:hAnsi="MS PGothic" w:eastAsia="MS PGothic" w:cs="Times New Roman"/>
      <w:color w:val="auto"/>
      <w:kern w:val="0"/>
      <w:sz w:val="20"/>
      <w:szCs w:val="20"/>
      <w:lang w:val="en-US" w:eastAsia="ja-JP" w:bidi="ar-SA"/>
    </w:rPr>
  </w:style>
  <w:style w:type="paragraph" w:styleId="Normal1CharChar" w:customStyle="1">
    <w:name w:val="Normal1 Char Char"/>
    <w:qFormat/>
    <w:rsid w:val="001d2c1a"/>
    <w:pPr>
      <w:keepNext w:val="true"/>
      <w:widowControl/>
      <w:numPr>
        <w:ilvl w:val="0"/>
        <w:numId w:val="3"/>
      </w:numPr>
      <w:suppressAutoHyphens w:val="true"/>
      <w:bidi w:val="0"/>
      <w:spacing w:lineRule="auto" w:line="276" w:before="60" w:after="60"/>
      <w:jc w:val="both"/>
    </w:pPr>
    <w:rPr>
      <w:rFonts w:eastAsia="Times New Roman" w:ascii="Times New Roman" w:hAnsi="Times New Roman" w:cs="Times New Roman"/>
      <w:color w:val="auto"/>
      <w:kern w:val="2"/>
      <w:sz w:val="21"/>
      <w:szCs w:val="20"/>
      <w:lang w:val="en-GB" w:eastAsia="ja-JP" w:bidi="ar-SA"/>
    </w:rPr>
  </w:style>
  <w:style w:type="paragraph" w:styleId="annotationsubject">
    <w:name w:val="annotation subject"/>
    <w:basedOn w:val="AnnotationText"/>
    <w:next w:val="AnnotationText"/>
    <w:link w:val="CommentSubjectChar"/>
    <w:qFormat/>
    <w:rsid w:val="001d2c1a"/>
    <w:pPr/>
    <w:rPr>
      <w:b/>
      <w:sz w:val="24"/>
    </w:rPr>
  </w:style>
  <w:style w:type="paragraph" w:styleId="CharCharCharCarCarCharCharCarCar" w:customStyle="1">
    <w:name w:val="Char Char Char Car Car Char Char Car Car"/>
    <w:qFormat/>
    <w:rsid w:val="001d2c1a"/>
    <w:pPr>
      <w:keepNext w:val="true"/>
      <w:widowControl/>
      <w:tabs>
        <w:tab w:val="clear" w:pos="567"/>
        <w:tab w:val="left" w:pos="851" w:leader="none"/>
      </w:tabs>
      <w:suppressAutoHyphens w:val="true"/>
      <w:bidi w:val="0"/>
      <w:spacing w:lineRule="auto" w:line="276" w:before="60" w:after="60"/>
      <w:ind w:hanging="851" w:left="851"/>
      <w:jc w:val="both"/>
    </w:pPr>
    <w:rPr>
      <w:rFonts w:ascii="Arial" w:hAnsi="Arial" w:eastAsia="SimSun" w:cs="Times New Roman"/>
      <w:color w:val="0000FF"/>
      <w:kern w:val="2"/>
      <w:sz w:val="20"/>
      <w:szCs w:val="20"/>
      <w:lang w:val="en-US" w:eastAsia="ja-JP" w:bidi="ar-SA"/>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qFormat/>
    <w:rsid w:val="001d2c1a"/>
    <w:pPr>
      <w:keepNext w:val="true"/>
      <w:widowControl/>
      <w:tabs>
        <w:tab w:val="clear" w:pos="567"/>
        <w:tab w:val="left" w:pos="720" w:leader="none"/>
      </w:tabs>
      <w:suppressAutoHyphens w:val="true"/>
      <w:bidi w:val="0"/>
      <w:spacing w:lineRule="auto" w:line="276" w:before="0" w:after="200"/>
      <w:ind w:hanging="360" w:left="720"/>
      <w:jc w:val="both"/>
    </w:pPr>
    <w:rPr>
      <w:rFonts w:eastAsia="Times New Roman" w:ascii="Times New Roman" w:hAnsi="Times New Roman" w:cs="Times New Roman"/>
      <w:color w:val="auto"/>
      <w:kern w:val="2"/>
      <w:sz w:val="20"/>
      <w:szCs w:val="20"/>
      <w:lang w:val="en-GB" w:eastAsia="zh-CN" w:bidi="ar-SA"/>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qFormat/>
    <w:rsid w:val="001d2c1a"/>
    <w:pPr>
      <w:keepNext w:val="true"/>
      <w:widowControl/>
      <w:tabs>
        <w:tab w:val="clear" w:pos="567"/>
        <w:tab w:val="left" w:pos="720" w:leader="none"/>
      </w:tabs>
      <w:suppressAutoHyphens w:val="true"/>
      <w:bidi w:val="0"/>
      <w:spacing w:lineRule="auto" w:line="276" w:before="0" w:after="200"/>
      <w:ind w:hanging="360" w:left="720"/>
      <w:jc w:val="both"/>
    </w:pPr>
    <w:rPr>
      <w:rFonts w:eastAsia="Times New Roman" w:ascii="Times New Roman" w:hAnsi="Times New Roman" w:cs="Times New Roman"/>
      <w:color w:val="auto"/>
      <w:kern w:val="2"/>
      <w:sz w:val="20"/>
      <w:szCs w:val="20"/>
      <w:lang w:val="en-GB" w:eastAsia="zh-CN" w:bidi="ar-SA"/>
    </w:rPr>
  </w:style>
  <w:style w:type="paragraph" w:styleId="CharChar1CharCharCharCharCharCharCharCharCharCharCharCharCharCharChar" w:customStyle="1">
    <w:name w:val="Char Char1 Char Char Char Char Char Char Char Char Char Char Char Char Char Char Char"/>
    <w:semiHidden/>
    <w:qFormat/>
    <w:rsid w:val="001d2c1a"/>
    <w:pPr>
      <w:keepNext w:val="true"/>
      <w:widowControl/>
      <w:tabs>
        <w:tab w:val="clear" w:pos="567"/>
        <w:tab w:val="left" w:pos="360" w:leader="none"/>
      </w:tabs>
      <w:suppressAutoHyphens w:val="true"/>
      <w:bidi w:val="0"/>
      <w:spacing w:lineRule="auto" w:line="276" w:before="60" w:after="60"/>
      <w:ind w:hanging="360" w:left="360"/>
      <w:jc w:val="both"/>
    </w:pPr>
    <w:rPr>
      <w:rFonts w:ascii="Arial" w:hAnsi="Arial" w:eastAsia="SimSun" w:cs="Arial"/>
      <w:color w:val="0000FF"/>
      <w:kern w:val="2"/>
      <w:sz w:val="20"/>
      <w:szCs w:val="20"/>
      <w:lang w:eastAsia="zh-CN" w:val="en-US" w:bidi="ar-SA"/>
    </w:rPr>
  </w:style>
  <w:style w:type="paragraph" w:styleId="NormalWeb">
    <w:name w:val="Normal (Web)"/>
    <w:basedOn w:val="Normal"/>
    <w:uiPriority w:val="99"/>
    <w:unhideWhenUsed/>
    <w:qFormat/>
    <w:rsid w:val="001d2c1a"/>
    <w:pPr>
      <w:overflowPunct w:val="true"/>
      <w:spacing w:beforeAutospacing="1" w:afterAutospacing="1"/>
      <w:textAlignment w:val="auto"/>
    </w:pPr>
    <w:rPr>
      <w:rFonts w:ascii="MS PGothic" w:hAnsi="MS PGothic" w:eastAsia="MS PGothic" w:cs="MS PGothic"/>
      <w:sz w:val="24"/>
      <w:szCs w:val="24"/>
      <w:lang w:val="en-US" w:eastAsia="ja-JP"/>
    </w:rPr>
  </w:style>
  <w:style w:type="paragraph" w:styleId="81" w:customStyle="1">
    <w:name w:val="表 (赤)  81"/>
    <w:basedOn w:val="Normal"/>
    <w:uiPriority w:val="34"/>
    <w:qFormat/>
    <w:rsid w:val="001d2c1a"/>
    <w:pPr>
      <w:overflowPunct w:val="true"/>
      <w:spacing w:before="0" w:after="0"/>
      <w:ind w:left="840"/>
      <w:textAlignment w:val="auto"/>
    </w:pPr>
    <w:rPr>
      <w:rFonts w:ascii="MS PGothic" w:hAnsi="MS PGothic" w:eastAsia="MS PGothic" w:cs="MS PGothic"/>
      <w:sz w:val="24"/>
      <w:szCs w:val="24"/>
      <w:lang w:val="en-US" w:eastAsia="ja-JP"/>
    </w:rPr>
  </w:style>
  <w:style w:type="paragraph" w:styleId="71" w:customStyle="1">
    <w:name w:val="表 (赤)  71"/>
    <w:uiPriority w:val="99"/>
    <w:semiHidden/>
    <w:qFormat/>
    <w:rsid w:val="001d2c1a"/>
    <w:pPr>
      <w:widowControl/>
      <w:suppressAutoHyphens w:val="true"/>
      <w:bidi w:val="0"/>
      <w:spacing w:lineRule="auto" w:line="276" w:before="0" w:after="200"/>
      <w:jc w:val="left"/>
    </w:pPr>
    <w:rPr>
      <w:rFonts w:eastAsia="MS Gothic" w:ascii="Times New Roman" w:hAnsi="Times New Roman" w:cs="Times New Roman"/>
      <w:color w:val="auto"/>
      <w:kern w:val="0"/>
      <w:sz w:val="24"/>
      <w:szCs w:val="20"/>
      <w:lang w:val="en-GB" w:eastAsia="ja-JP" w:bidi="ar-SA"/>
    </w:rPr>
  </w:style>
  <w:style w:type="paragraph" w:styleId="Revision">
    <w:name w:val="Revision"/>
    <w:uiPriority w:val="99"/>
    <w:semiHidden/>
    <w:qFormat/>
    <w:rsid w:val="001d2c1a"/>
    <w:pPr>
      <w:widowControl/>
      <w:suppressAutoHyphens w:val="true"/>
      <w:bidi w:val="0"/>
      <w:spacing w:lineRule="auto" w:line="276" w:before="0" w:after="200"/>
      <w:jc w:val="left"/>
    </w:pPr>
    <w:rPr>
      <w:rFonts w:eastAsia="MS Gothic" w:ascii="Times New Roman" w:hAnsi="Times New Roman" w:cs="Times New Roman"/>
      <w:color w:val="auto"/>
      <w:kern w:val="0"/>
      <w:sz w:val="24"/>
      <w:szCs w:val="20"/>
      <w:lang w:val="en-GB" w:eastAsia="ja-JP" w:bidi="ar-SA"/>
    </w:rPr>
  </w:style>
  <w:style w:type="paragraph" w:styleId="Doc-title" w:customStyle="1">
    <w:name w:val="Doc-title"/>
    <w:basedOn w:val="Normal"/>
    <w:next w:val="Doc-text2"/>
    <w:link w:val="Doc-titleChar"/>
    <w:qFormat/>
    <w:rsid w:val="001d2c1a"/>
    <w:pPr>
      <w:overflowPunct w:val="true"/>
      <w:spacing w:before="0" w:after="0"/>
      <w:ind w:hanging="1260" w:left="1260"/>
      <w:textAlignment w:val="auto"/>
    </w:pPr>
    <w:rPr>
      <w:rFonts w:ascii="Arial" w:hAnsi="Arial"/>
      <w:szCs w:val="24"/>
    </w:rPr>
  </w:style>
  <w:style w:type="paragraph" w:styleId="Doc-text2" w:customStyle="1">
    <w:name w:val="Doc-text2"/>
    <w:basedOn w:val="Normal"/>
    <w:link w:val="Doc-text2Char"/>
    <w:qFormat/>
    <w:rsid w:val="001d2c1a"/>
    <w:pPr>
      <w:tabs>
        <w:tab w:val="clear" w:pos="567"/>
        <w:tab w:val="left" w:pos="1622" w:leader="none"/>
      </w:tabs>
      <w:overflowPunct w:val="true"/>
      <w:spacing w:before="0" w:after="0"/>
      <w:ind w:hanging="363" w:left="1622"/>
      <w:textAlignment w:val="auto"/>
    </w:pPr>
    <w:rPr>
      <w:rFonts w:ascii="Arial" w:hAnsi="Arial"/>
      <w:szCs w:val="24"/>
    </w:rPr>
  </w:style>
  <w:style w:type="paragraph" w:styleId="ListParagraph">
    <w:name w:val="List Paragraph"/>
    <w:basedOn w:val="Normal"/>
    <w:link w:val="ListParagraphChar"/>
    <w:uiPriority w:val="34"/>
    <w:qFormat/>
    <w:rsid w:val="001d2c1a"/>
    <w:pPr>
      <w:widowControl w:val="false"/>
      <w:overflowPunct w:val="true"/>
      <w:spacing w:before="0" w:after="0"/>
      <w:ind w:left="840"/>
      <w:jc w:val="both"/>
      <w:textAlignment w:val="auto"/>
    </w:pPr>
    <w:rPr>
      <w:rFonts w:ascii="Century" w:hAnsi="Century"/>
      <w:kern w:val="2"/>
      <w:sz w:val="21"/>
      <w:szCs w:val="22"/>
      <w:lang w:val="en-US" w:eastAsia="ja-JP"/>
    </w:rPr>
  </w:style>
  <w:style w:type="paragraph" w:styleId="maintext" w:customStyle="1">
    <w:name w:val="main text"/>
    <w:basedOn w:val="Normal"/>
    <w:link w:val="maintextChar"/>
    <w:qFormat/>
    <w:rsid w:val="001d2c1a"/>
    <w:pPr>
      <w:overflowPunct w:val="true"/>
      <w:spacing w:lineRule="auto" w:line="288" w:before="60" w:after="60"/>
      <w:jc w:val="both"/>
      <w:textAlignment w:val="auto"/>
    </w:pPr>
    <w:rPr>
      <w:rFonts w:ascii="Calibri" w:hAnsi="Calibri" w:eastAsia="Malgun Gothic" w:cs="Batang"/>
      <w:lang w:eastAsia="ko-KR"/>
    </w:rPr>
  </w:style>
  <w:style w:type="paragraph" w:styleId="2222" w:customStyle="1">
    <w:name w:val="스타일 스타일 스타일 스타일 양쪽 첫 줄:  2 글자 + 첫 줄:  2 글자 + 첫 줄:  2 글자 + 첫 줄:  2..."/>
    <w:basedOn w:val="Normal"/>
    <w:link w:val="2222Char"/>
    <w:qFormat/>
    <w:rsid w:val="001d2c1a"/>
    <w:pPr>
      <w:overflowPunct w:val="true"/>
      <w:spacing w:lineRule="auto" w:line="336"/>
      <w:ind w:firstLine="200"/>
      <w:jc w:val="both"/>
      <w:textAlignment w:val="auto"/>
    </w:pPr>
    <w:rPr>
      <w:rFonts w:eastAsia="Malgun Gothic" w:cs="Batang"/>
    </w:rPr>
  </w:style>
  <w:style w:type="paragraph" w:styleId="CRCoverPage" w:customStyle="1">
    <w:name w:val="CR Cover Page"/>
    <w:qFormat/>
    <w:rsid w:val="001d2c1a"/>
    <w:pPr>
      <w:widowControl/>
      <w:suppressAutoHyphens w:val="true"/>
      <w:bidi w:val="0"/>
      <w:spacing w:lineRule="auto" w:line="276" w:before="0" w:after="120"/>
      <w:jc w:val="left"/>
    </w:pPr>
    <w:rPr>
      <w:rFonts w:ascii="Arial" w:hAnsi="Arial" w:eastAsia="SimSun" w:cs="Times New Roman"/>
      <w:color w:val="auto"/>
      <w:kern w:val="0"/>
      <w:sz w:val="20"/>
      <w:szCs w:val="20"/>
      <w:lang w:val="en-GB" w:eastAsia="en-US" w:bidi="ar-SA"/>
    </w:rPr>
  </w:style>
  <w:style w:type="paragraph" w:styleId="Tabletext1" w:customStyle="1">
    <w:name w:val="Table_text1"/>
    <w:basedOn w:val="Normal"/>
    <w:qFormat/>
    <w:rsid w:val="001d2c1a"/>
    <w:pPr>
      <w:tabs>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2835" w:leader="none"/>
        <w:tab w:val="left" w:pos="3119" w:leader="none"/>
        <w:tab w:val="left" w:pos="3402" w:leader="none"/>
        <w:tab w:val="left" w:pos="3686" w:leader="none"/>
        <w:tab w:val="left" w:pos="3969" w:leader="none"/>
      </w:tabs>
      <w:spacing w:before="40" w:after="40"/>
      <w:jc w:val="both"/>
    </w:pPr>
    <w:rPr>
      <w:rFonts w:eastAsia="SimSun"/>
      <w:sz w:val="22"/>
      <w:lang w:val="fr-FR"/>
    </w:rPr>
  </w:style>
  <w:style w:type="paragraph" w:styleId="Tablehead" w:customStyle="1">
    <w:name w:val="Table_head"/>
    <w:basedOn w:val="Tabletext1"/>
    <w:next w:val="Tabletext1"/>
    <w:qFormat/>
    <w:rsid w:val="001d2c1a"/>
    <w:pPr>
      <w:keepNext w:val="true"/>
      <w:spacing w:before="80" w:after="80"/>
      <w:jc w:val="center"/>
    </w:pPr>
    <w:rPr>
      <w:b/>
    </w:rPr>
  </w:style>
  <w:style w:type="paragraph" w:styleId="TableText2" w:customStyle="1">
    <w:name w:val="TableText"/>
    <w:basedOn w:val="BodyTextIndent"/>
    <w:qFormat/>
    <w:rsid w:val="001d2c1a"/>
    <w:pPr>
      <w:widowControl w:val="false"/>
      <w:overflowPunct w:val="false"/>
      <w:snapToGrid w:val="false"/>
      <w:spacing w:before="0" w:after="180"/>
      <w:ind w:left="210"/>
      <w:jc w:val="both"/>
    </w:pPr>
    <w:rPr>
      <w:rFonts w:eastAsia="Times New Roman"/>
      <w:kern w:val="2"/>
      <w:sz w:val="21"/>
      <w:lang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d45b2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itchFamily="0" charset="1"/>
        <a:ea typeface=""/>
        <a:cs typeface=""/>
      </a:majorFont>
      <a:minorFont>
        <a:latin typeface="游明朝"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D731F-19E6-4CB6-A422-24A1A00279B5}">
  <ds:schemaRefs>
    <ds:schemaRef ds:uri="http://schemas.microsoft.com/sharepoint/v3/contenttype/forms"/>
  </ds:schemaRefs>
</ds:datastoreItem>
</file>

<file path=customXml/itemProps2.xml><?xml version="1.0" encoding="utf-8"?>
<ds:datastoreItem xmlns:ds="http://schemas.openxmlformats.org/officeDocument/2006/customXml" ds:itemID="{8957E042-5BDC-4A43-809E-D8035B669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Application>LibreOffice/24.2.7.2$Linux_X86_64 LibreOffice_project/420$Build-2</Application>
  <AppVersion>15.0000</AppVersion>
  <Pages>3</Pages>
  <Words>832</Words>
  <Characters>4398</Characters>
  <CharactersWithSpaces>5128</CharactersWithSpaces>
  <Paragraphs>104</Paragraphs>
  <Company>株式会社エヌ・ティ・ティ・ドコモ</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2025-09-08T09:17:00Z</dcterms:created>
  <dc:creator>Joern Krause</dc:creator>
  <dc:description/>
  <dc:language>en-GB</dc:language>
  <cp:lastModifiedBy/>
  <dcterms:modified xsi:type="dcterms:W3CDTF">2025-09-15T02:14:26Z</dcterms:modified>
  <cp:revision>14</cp:revision>
  <dc:subject/>
  <dc:title>Status Report to TSG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Application">
    <vt:lpwstr>Microsoft Azure Information Protection</vt:lpwstr>
  </property>
  <property fmtid="{D5CDD505-2E9C-101B-9397-08002B2CF9AE}" pid="3" name="MSIP_Label_b1aa2129-79ec-42c0-bfac-e5b7a0374572_Enabled">
    <vt:lpwstr>True</vt:lpwstr>
  </property>
  <property fmtid="{D5CDD505-2E9C-101B-9397-08002B2CF9AE}" pid="4" name="MSIP_Label_b1aa2129-79ec-42c0-bfac-e5b7a0374572_Extended_MSFT_Method">
    <vt:lpwstr>Manual</vt:lpwstr>
  </property>
  <property fmtid="{D5CDD505-2E9C-101B-9397-08002B2CF9AE}" pid="5" name="MSIP_Label_b1aa2129-79ec-42c0-bfac-e5b7a0374572_Name">
    <vt:lpwstr>Public</vt:lpwstr>
  </property>
  <property fmtid="{D5CDD505-2E9C-101B-9397-08002B2CF9AE}" pid="6" name="MSIP_Label_b1aa2129-79ec-42c0-bfac-e5b7a0374572_Owner">
    <vt:lpwstr>balazs.bertenyi@nokia.com</vt:lpwstr>
  </property>
  <property fmtid="{D5CDD505-2E9C-101B-9397-08002B2CF9AE}" pid="7" name="MSIP_Label_b1aa2129-79ec-42c0-bfac-e5b7a0374572_SetDate">
    <vt:lpwstr>2018-11-20T14:43:21.7174018Z</vt:lpwstr>
  </property>
  <property fmtid="{D5CDD505-2E9C-101B-9397-08002B2CF9AE}" pid="8" name="MSIP_Label_b1aa2129-79ec-42c0-bfac-e5b7a0374572_SiteId">
    <vt:lpwstr>5d471751-9675-428d-917b-70f44f9630b0</vt:lpwstr>
  </property>
  <property fmtid="{D5CDD505-2E9C-101B-9397-08002B2CF9AE}" pid="9" name="Sensitivity">
    <vt:lpwstr>Public</vt:lpwstr>
  </property>
</Properties>
</file>